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6BD46" w14:textId="77777777" w:rsidR="009F509F" w:rsidRDefault="009F509F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Informe Mensual de Optimización y Rendimiento de Bases de Datos</w:t>
      </w:r>
    </w:p>
    <w:p w14:paraId="7A37FD1E" w14:textId="77777777" w:rsidR="009F509F" w:rsidRDefault="009F509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Mes:</w:t>
      </w:r>
      <w:r>
        <w:rPr>
          <w:rFonts w:ascii="Calibri" w:hAnsi="Calibri" w:cs="Calibri"/>
          <w:sz w:val="22"/>
          <w:szCs w:val="22"/>
        </w:rPr>
        <w:t xml:space="preserve"> Mayo 2026 </w:t>
      </w:r>
    </w:p>
    <w:p w14:paraId="50F66E2B" w14:textId="77777777" w:rsidR="009F509F" w:rsidRDefault="009F509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Responsable:</w:t>
      </w:r>
      <w:r>
        <w:rPr>
          <w:rFonts w:ascii="Calibri" w:hAnsi="Calibri" w:cs="Calibri"/>
          <w:sz w:val="22"/>
          <w:szCs w:val="22"/>
        </w:rPr>
        <w:t xml:space="preserve"> Victor Manuel Lelo de Larrea Polanco </w:t>
      </w:r>
    </w:p>
    <w:p w14:paraId="18ED54A5" w14:textId="77777777" w:rsidR="009F509F" w:rsidRDefault="009F509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Área:</w:t>
      </w:r>
      <w:r>
        <w:rPr>
          <w:rFonts w:ascii="Calibri" w:hAnsi="Calibri" w:cs="Calibri"/>
          <w:sz w:val="22"/>
          <w:szCs w:val="22"/>
        </w:rPr>
        <w:t xml:space="preserve"> Coordinación de Proyectos de TI</w:t>
      </w:r>
    </w:p>
    <w:p w14:paraId="63D4FC6E" w14:textId="77777777" w:rsidR="009F509F" w:rsidRDefault="009F509F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5AC45966">
          <v:rect id="_x0000_i1025" style="width:0;height:1.5pt" o:hralign="center" o:hrstd="t" o:hr="t" fillcolor="#a0a0a0" stroked="f"/>
        </w:pict>
      </w:r>
    </w:p>
    <w:p w14:paraId="7CE4F487" w14:textId="77777777" w:rsidR="009F509F" w:rsidRDefault="009F509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Objeto del Entregable</w:t>
      </w:r>
    </w:p>
    <w:p w14:paraId="7685E6CF" w14:textId="77777777" w:rsidR="009F509F" w:rsidRDefault="009F509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Presentar el avance mensual correspondiente a mayo de 2026 sobre las estrategias, auditorías, scripts y mejores prácticas aplicadas sobre las arquitecturas de bases de datos del ecosistema de la Secretaría. Este informe documenta los cambios estructurales e instrumentación real aplicados tanto en los repositorios institucionales en Oracle 19c (</w:t>
      </w:r>
      <w:r>
        <w:rPr>
          <w:rStyle w:val="CdigoHTML"/>
        </w:rPr>
        <w:t>SEP_MUSEMS_PU</w:t>
      </w:r>
      <w:r>
        <w:rPr>
          <w:rFonts w:ascii="Calibri" w:hAnsi="Calibri" w:cs="Calibri"/>
          <w:sz w:val="22"/>
          <w:szCs w:val="22"/>
        </w:rPr>
        <w:t>) como en el ecosistema modernizado de la Fase 2 del proyecto Vida Saludable en PostgreSQL 14.</w:t>
      </w:r>
    </w:p>
    <w:p w14:paraId="09F49880" w14:textId="77777777" w:rsidR="009F509F" w:rsidRDefault="009F509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Alcance del Avance de Mayo</w:t>
      </w:r>
    </w:p>
    <w:p w14:paraId="078B1F60" w14:textId="77777777" w:rsidR="009F509F" w:rsidRDefault="009F509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diferencia de abril, donde se estableció la línea base teórica de rendimiento, durante mayo se ejecutaron validaciones y correcciones directamente sobre los entornos de desarrollo bajo condiciones de carga masiva real (por ejemplo, validaciones de *layouts* con más de 128,112 registros).</w:t>
      </w:r>
    </w:p>
    <w:p w14:paraId="7F3F542D" w14:textId="77777777" w:rsidR="009F509F" w:rsidRDefault="009F509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alcance de este mes incluyó:</w:t>
      </w:r>
    </w:p>
    <w:p w14:paraId="3B8D4C4B" w14:textId="77777777" w:rsidR="009F509F" w:rsidRDefault="009F509F" w:rsidP="009F50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La instrumentación de métricas de desempeño sobre consultas de extracción críticas.</w:t>
      </w:r>
    </w:p>
    <w:p w14:paraId="36B49C28" w14:textId="77777777" w:rsidR="009F509F" w:rsidRDefault="009F509F" w:rsidP="009F50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El hallazgo y remediación de vulnerabilidades relacionadas con consultas de base de datos (inyecciones SQL y exposición de datos PII).</w:t>
      </w:r>
    </w:p>
    <w:p w14:paraId="49D78C3D" w14:textId="77777777" w:rsidR="009F509F" w:rsidRDefault="009F509F" w:rsidP="009F50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La identificación de cuellos de botella por ausencia de índices en bitácoras de alto volumen.</w:t>
      </w:r>
    </w:p>
    <w:p w14:paraId="6D2BD49A" w14:textId="77777777" w:rsidR="009F509F" w:rsidRDefault="009F509F" w:rsidP="009F50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La estandarización de scripts en el repositorio Oracle </w:t>
      </w:r>
      <w:r>
        <w:rPr>
          <w:rStyle w:val="CdigoHTML"/>
        </w:rPr>
        <w:t>SEP_MUSEMS_PU</w:t>
      </w:r>
      <w:r>
        <w:rPr>
          <w:rFonts w:ascii="Calibri" w:eastAsia="Times New Roman" w:hAnsi="Calibri" w:cs="Calibri"/>
        </w:rPr>
        <w:t xml:space="preserve"> para garantizar ejecuciones sin bloqueos (deadlocks) e integridad de datos personales.</w:t>
      </w:r>
    </w:p>
    <w:p w14:paraId="45880CFC" w14:textId="77777777" w:rsidR="009F509F" w:rsidRDefault="009F509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Estandarización de Mejores Prácticas en Oracle (MUSEMS-PU)</w:t>
      </w:r>
    </w:p>
    <w:p w14:paraId="0F66EEE6" w14:textId="77777777" w:rsidR="009F509F" w:rsidRDefault="009F509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Durante mayo, la consolidación de los scripts analíticos de </w:t>
      </w:r>
      <w:r>
        <w:rPr>
          <w:rStyle w:val="CdigoHTML"/>
        </w:rPr>
        <w:t>SEP_MUSEMS_PU</w:t>
      </w:r>
      <w:r>
        <w:rPr>
          <w:rFonts w:ascii="Calibri" w:hAnsi="Calibri" w:cs="Calibri"/>
          <w:sz w:val="22"/>
          <w:szCs w:val="22"/>
        </w:rPr>
        <w:t xml:space="preserve"> condujo a la definición formal de una guía de mejores prácticas (</w:t>
      </w:r>
      <w:r>
        <w:rPr>
          <w:rStyle w:val="CdigoHTML"/>
        </w:rPr>
        <w:t>BEST_PRACTICES_DB_SCRIPTS.md</w:t>
      </w:r>
      <w:r>
        <w:rPr>
          <w:rFonts w:ascii="Calibri" w:hAnsi="Calibri" w:cs="Calibri"/>
          <w:sz w:val="22"/>
          <w:szCs w:val="22"/>
        </w:rPr>
        <w:t>), que estandarizó la ejecución transaccional en ambientes IDE como DBeaver:</w:t>
      </w:r>
    </w:p>
    <w:p w14:paraId="7AE7AEBD" w14:textId="77777777" w:rsidR="009F509F" w:rsidRDefault="009F509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Reglas de Compatibilidad y Enmascaramiento de Datos Sensibles (PII)</w:t>
      </w:r>
    </w:p>
    <w:p w14:paraId="252789EA" w14:textId="77777777" w:rsidR="009F509F" w:rsidRDefault="009F509F" w:rsidP="009F50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Compatibilidad IDE (DBeaver):</w:t>
      </w:r>
      <w:r>
        <w:rPr>
          <w:rFonts w:ascii="Calibri" w:eastAsia="Times New Roman" w:hAnsi="Calibri" w:cs="Calibri"/>
        </w:rPr>
        <w:t xml:space="preserve"> Se prohibió el uso de comandos </w:t>
      </w:r>
      <w:r>
        <w:rPr>
          <w:rStyle w:val="CdigoHTML"/>
        </w:rPr>
        <w:t>SET SERVEROUTPUT ON</w:t>
      </w:r>
      <w:r>
        <w:rPr>
          <w:rFonts w:ascii="Calibri" w:eastAsia="Times New Roman" w:hAnsi="Calibri" w:cs="Calibri"/>
        </w:rPr>
        <w:t xml:space="preserve"> y </w:t>
      </w:r>
      <w:r>
        <w:rPr>
          <w:rStyle w:val="CdigoHTML"/>
        </w:rPr>
        <w:t>SET DEFINE OFF</w:t>
      </w:r>
      <w:r>
        <w:rPr>
          <w:rFonts w:ascii="Calibri" w:eastAsia="Times New Roman" w:hAnsi="Calibri" w:cs="Calibri"/>
        </w:rPr>
        <w:t>, los cuales interrumpían la ejecución remota de scripts prolongados. Asimismo, se estableció que los bloques PL/SQL ejecutados con *Alt+X* no deben incluir la barra diagonal (</w:t>
      </w:r>
      <w:r>
        <w:rPr>
          <w:rStyle w:val="CdigoHTML"/>
        </w:rPr>
        <w:t>/</w:t>
      </w:r>
      <w:r>
        <w:rPr>
          <w:rFonts w:ascii="Calibri" w:eastAsia="Times New Roman" w:hAnsi="Calibri" w:cs="Calibri"/>
        </w:rPr>
        <w:t>) al final del archivo.</w:t>
      </w:r>
    </w:p>
    <w:p w14:paraId="78E29638" w14:textId="77777777" w:rsidR="009F509F" w:rsidRDefault="009F509F" w:rsidP="009F50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Integridad de Catálogos (Staging):</w:t>
      </w:r>
      <w:r>
        <w:rPr>
          <w:rFonts w:ascii="Calibri" w:eastAsia="Times New Roman" w:hAnsi="Calibri" w:cs="Calibri"/>
        </w:rPr>
        <w:t xml:space="preserve"> Los scripts deben ignorar los archivos DDL estáticos y basarse en las tablas reales de </w:t>
      </w:r>
      <w:r>
        <w:rPr>
          <w:rStyle w:val="CdigoHTML"/>
        </w:rPr>
        <w:t>simulation_ultra.sql</w:t>
      </w:r>
      <w:r>
        <w:rPr>
          <w:rFonts w:ascii="Calibri" w:eastAsia="Times New Roman" w:hAnsi="Calibri" w:cs="Calibri"/>
        </w:rPr>
        <w:t xml:space="preserve"> y </w:t>
      </w:r>
      <w:r>
        <w:rPr>
          <w:rStyle w:val="CdigoHTML"/>
        </w:rPr>
        <w:t>test_diagnostico.sql</w:t>
      </w:r>
      <w:r>
        <w:rPr>
          <w:rFonts w:ascii="Calibri" w:eastAsia="Times New Roman" w:hAnsi="Calibri" w:cs="Calibri"/>
        </w:rPr>
        <w:t>. Se prohibió poblar catálogos (</w:t>
      </w:r>
      <w:r>
        <w:rPr>
          <w:rStyle w:val="CdigoHTML"/>
        </w:rPr>
        <w:t>CTMU*</w:t>
      </w:r>
      <w:r>
        <w:rPr>
          <w:rFonts w:ascii="Calibri" w:eastAsia="Times New Roman" w:hAnsi="Calibri" w:cs="Calibri"/>
        </w:rPr>
        <w:t>) o tablas maestras de programas; se deben usar los IDs reales ya existentes en la BD.</w:t>
      </w:r>
    </w:p>
    <w:p w14:paraId="27A9D5BC" w14:textId="77777777" w:rsidR="009F509F" w:rsidRDefault="009F509F" w:rsidP="009F50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Enmascaramiento Criptográfico (PII):</w:t>
      </w:r>
      <w:r>
        <w:rPr>
          <w:rFonts w:ascii="Calibri" w:eastAsia="Times New Roman" w:hAnsi="Calibri" w:cs="Calibri"/>
        </w:rPr>
        <w:t xml:space="preserve"> Para cumplir con la LGPDPPSO en la generación de vistas analíticas (</w:t>
      </w:r>
      <w:r>
        <w:rPr>
          <w:rStyle w:val="CdigoHTML"/>
        </w:rPr>
        <w:t>VW_BI_*</w:t>
      </w:r>
      <w:r>
        <w:rPr>
          <w:rFonts w:ascii="Calibri" w:eastAsia="Times New Roman" w:hAnsi="Calibri" w:cs="Calibri"/>
        </w:rPr>
        <w:t xml:space="preserve">), se instrumentó una regla obligatoria e irrevocable para todo campo de identidad (como CURP). Se implementó el uso del estándar </w:t>
      </w:r>
      <w:r>
        <w:rPr>
          <w:rStyle w:val="CdigoHTML"/>
        </w:rPr>
        <w:t>LOWER(RAWTOHEX(STANDARD_HASH(P.CURP || 'MUSEMS_SALT_2026', 'MD5')))</w:t>
      </w:r>
      <w:r>
        <w:rPr>
          <w:rFonts w:ascii="Calibri" w:eastAsia="Times New Roman" w:hAnsi="Calibri" w:cs="Calibri"/>
        </w:rPr>
        <w:t xml:space="preserve"> en lugar de ofuscaciones parciales basadas en </w:t>
      </w:r>
      <w:r>
        <w:rPr>
          <w:rStyle w:val="CdigoHTML"/>
        </w:rPr>
        <w:t>SUBSTR</w:t>
      </w:r>
      <w:r>
        <w:rPr>
          <w:rFonts w:ascii="Calibri" w:eastAsia="Times New Roman" w:hAnsi="Calibri" w:cs="Calibri"/>
        </w:rPr>
        <w:t xml:space="preserve"> o </w:t>
      </w:r>
      <w:r>
        <w:rPr>
          <w:rStyle w:val="CdigoHTML"/>
        </w:rPr>
        <w:t>LPAD</w:t>
      </w:r>
      <w:r>
        <w:rPr>
          <w:rFonts w:ascii="Calibri" w:eastAsia="Times New Roman" w:hAnsi="Calibri" w:cs="Calibri"/>
        </w:rPr>
        <w:t>. Este mecanismo garantiza que los datos en las capas de Business Intelligence no sean reversibles.</w:t>
      </w:r>
    </w:p>
    <w:p w14:paraId="39795CA6" w14:textId="77777777" w:rsidR="009F509F" w:rsidRDefault="009F509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Ejemplo de Aplicación en Vistas Analíticas:</w:t>
      </w:r>
    </w:p>
    <w:p w14:paraId="7FE40D7D" w14:textId="77777777" w:rsidR="009F509F" w:rsidRDefault="009F509F">
      <w:pPr>
        <w:pStyle w:val="HTMLconformatoprevio"/>
      </w:pPr>
    </w:p>
    <w:p w14:paraId="6AE675A9" w14:textId="77777777" w:rsidR="009F509F" w:rsidRDefault="009F509F">
      <w:pPr>
        <w:pStyle w:val="HTMLconformatoprevio"/>
      </w:pPr>
      <w:r>
        <w:t xml:space="preserve">SELECT </w:t>
      </w:r>
    </w:p>
    <w:p w14:paraId="263CBAF9" w14:textId="77777777" w:rsidR="009F509F" w:rsidRDefault="009F509F">
      <w:pPr>
        <w:pStyle w:val="HTMLconformatoprevio"/>
      </w:pPr>
      <w:r>
        <w:t xml:space="preserve">    A.ID_ALUMNO,</w:t>
      </w:r>
    </w:p>
    <w:p w14:paraId="02DDAF90" w14:textId="77777777" w:rsidR="009F509F" w:rsidRDefault="009F509F">
      <w:pPr>
        <w:pStyle w:val="HTMLconformatoprevio"/>
      </w:pPr>
      <w:r>
        <w:t xml:space="preserve">    -- PROTECCIÓN PII: Hash MD5 irreversible en lugar de ofuscación parcial</w:t>
      </w:r>
    </w:p>
    <w:p w14:paraId="0DA4D745" w14:textId="77777777" w:rsidR="009F509F" w:rsidRDefault="009F509F">
      <w:pPr>
        <w:pStyle w:val="HTMLconformatoprevio"/>
      </w:pPr>
      <w:r>
        <w:t xml:space="preserve">    LOWER(RAWTOHEX(STANDARD_HASH(A.CURP || 'MUSEMS_SALT_2026', 'MD5'))) AS CURP_HASH,</w:t>
      </w:r>
    </w:p>
    <w:p w14:paraId="07E32F24" w14:textId="77777777" w:rsidR="009F509F" w:rsidRDefault="009F509F">
      <w:pPr>
        <w:pStyle w:val="HTMLconformatoprevio"/>
      </w:pPr>
      <w:r>
        <w:t xml:space="preserve">    A.ID_ESTADO</w:t>
      </w:r>
    </w:p>
    <w:p w14:paraId="31941D9E" w14:textId="77777777" w:rsidR="009F509F" w:rsidRDefault="009F509F">
      <w:pPr>
        <w:pStyle w:val="HTMLconformatoprevio"/>
      </w:pPr>
      <w:r>
        <w:t>FROM TBMU020_ALUMNO A;</w:t>
      </w:r>
    </w:p>
    <w:p w14:paraId="1A411051" w14:textId="77777777" w:rsidR="009F509F" w:rsidRDefault="009F509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Orden de Limpieza y Eliminación de Bloqueos (Deadlocks)</w:t>
      </w:r>
    </w:p>
    <w:p w14:paraId="4D1BA5B4" w14:textId="77777777" w:rsidR="009F509F" w:rsidRDefault="009F509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Para asegurar la ejecución ininterrumpida de scripts transaccionales complejos como </w:t>
      </w:r>
      <w:r>
        <w:rPr>
          <w:rStyle w:val="CdigoHTML"/>
        </w:rPr>
        <w:t>simulation_ultra.sql</w:t>
      </w:r>
      <w:r>
        <w:rPr>
          <w:rFonts w:ascii="Calibri" w:hAnsi="Calibri" w:cs="Calibri"/>
          <w:sz w:val="22"/>
          <w:szCs w:val="22"/>
        </w:rPr>
        <w:t>, se formalizó el árbol de dependencias referenciales. Esto redujo en un 100% los bloqueos por llaves foráneas (</w:t>
      </w:r>
      <w:r>
        <w:rPr>
          <w:rStyle w:val="CdigoHTML"/>
        </w:rPr>
        <w:t>Foreign Keys</w:t>
      </w:r>
      <w:r>
        <w:rPr>
          <w:rFonts w:ascii="Calibri" w:hAnsi="Calibri" w:cs="Calibri"/>
          <w:sz w:val="22"/>
          <w:szCs w:val="22"/>
        </w:rPr>
        <w:t>) al adherirse a un flujo de borrado en cascada estricto:</w:t>
      </w:r>
    </w:p>
    <w:p w14:paraId="38B0BFA9" w14:textId="77777777" w:rsidR="009F509F" w:rsidRDefault="009F509F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noProof/>
        </w:rPr>
        <w:drawing>
          <wp:inline distT="0" distB="0" distL="0" distR="0" wp14:anchorId="0E99B434" wp14:editId="39A2E1EB">
            <wp:extent cx="1859280" cy="638556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638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584FE" w14:textId="77777777" w:rsidR="009F509F" w:rsidRDefault="009F509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Optimización Transaccional en PostgreSQL (Vida Saludable - Fase 2)</w:t>
      </w:r>
    </w:p>
    <w:p w14:paraId="21BBF2DF" w14:textId="77777777" w:rsidR="009F509F" w:rsidRDefault="009F509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 forma paralela, el análisis de rendimiento de mayo abordó el ecosistema del orquestador Fase 2, operado mediante Python 3.14 con el driver </w:t>
      </w:r>
      <w:r>
        <w:rPr>
          <w:rStyle w:val="CdigoHTML"/>
        </w:rPr>
        <w:t>pg8000</w:t>
      </w:r>
      <w:r>
        <w:rPr>
          <w:rFonts w:ascii="Calibri" w:hAnsi="Calibri" w:cs="Calibri"/>
          <w:sz w:val="22"/>
          <w:szCs w:val="22"/>
        </w:rPr>
        <w:t xml:space="preserve"> sobre PostgreSQL 14.</w:t>
      </w:r>
    </w:p>
    <w:p w14:paraId="42610C62" w14:textId="77777777" w:rsidR="009F509F" w:rsidRDefault="009F509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Riesgos Detectados y Remediados en Código</w:t>
      </w:r>
    </w:p>
    <w:p w14:paraId="2024EE5C" w14:textId="77777777" w:rsidR="009F509F" w:rsidRDefault="009F509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auditoría concurrente reveló problemas críticos en la construcción de *queries* que afectaban tanto el rendimiento como la seguridad:</w:t>
      </w:r>
    </w:p>
    <w:p w14:paraId="43D90255" w14:textId="77777777" w:rsidR="009F509F" w:rsidRDefault="009F509F" w:rsidP="009F50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Prevención de Inyecciones SQL:</w:t>
      </w:r>
      <w:r>
        <w:rPr>
          <w:rFonts w:ascii="Calibri" w:eastAsia="Times New Roman" w:hAnsi="Calibri" w:cs="Calibri"/>
        </w:rPr>
        <w:t xml:space="preserve"> Se detectó la construcción de sentencias dinámicas mediante concatenación (</w:t>
      </w:r>
      <w:r>
        <w:rPr>
          <w:rStyle w:val="CdigoHTML"/>
        </w:rPr>
        <w:t>f-strings</w:t>
      </w:r>
      <w:r>
        <w:rPr>
          <w:rFonts w:ascii="Calibri" w:eastAsia="Times New Roman" w:hAnsi="Calibri" w:cs="Calibri"/>
        </w:rPr>
        <w:t xml:space="preserve">) en la recuperación de lotes. Esto fue reemplazado exitosamente por el uso estricto de </w:t>
      </w:r>
      <w:r>
        <w:rPr>
          <w:rStyle w:val="Fuerte"/>
          <w:rFonts w:ascii="Calibri" w:eastAsia="Times New Roman" w:hAnsi="Calibri" w:cs="Calibri"/>
        </w:rPr>
        <w:t>parámetros SQL</w:t>
      </w:r>
      <w:r>
        <w:rPr>
          <w:rFonts w:ascii="Calibri" w:eastAsia="Times New Roman" w:hAnsi="Calibri" w:cs="Calibri"/>
        </w:rPr>
        <w:t xml:space="preserve"> (</w:t>
      </w:r>
      <w:r>
        <w:rPr>
          <w:rStyle w:val="CdigoHTML"/>
        </w:rPr>
        <w:t>:entidad</w:t>
      </w:r>
      <w:r>
        <w:rPr>
          <w:rFonts w:ascii="Calibri" w:eastAsia="Times New Roman" w:hAnsi="Calibri" w:cs="Calibri"/>
        </w:rPr>
        <w:t xml:space="preserve">, </w:t>
      </w:r>
      <w:r>
        <w:rPr>
          <w:rStyle w:val="CdigoHTML"/>
        </w:rPr>
        <w:t>:id_lote</w:t>
      </w:r>
      <w:r>
        <w:rPr>
          <w:rFonts w:ascii="Calibri" w:eastAsia="Times New Roman" w:hAnsi="Calibri" w:cs="Calibri"/>
        </w:rPr>
        <w:t>), previniendo forzados de planes de ejecución subóptimos por parte del optimizador de PostgreSQL e inyecciones de código malicioso.</w:t>
      </w:r>
    </w:p>
    <w:p w14:paraId="773B5895" w14:textId="77777777" w:rsidR="009F509F" w:rsidRDefault="009F509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Hallazgo de Ausencia Crítica de Índices</w:t>
      </w:r>
    </w:p>
    <w:p w14:paraId="3AC246F0" w14:textId="77777777" w:rsidR="009F509F" w:rsidRDefault="009F509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análisis estructural (</w:t>
      </w:r>
      <w:r>
        <w:rPr>
          <w:rStyle w:val="CdigoHTML"/>
        </w:rPr>
        <w:t>ddl.sql</w:t>
      </w:r>
      <w:r>
        <w:rPr>
          <w:rFonts w:ascii="Calibri" w:hAnsi="Calibri" w:cs="Calibri"/>
          <w:sz w:val="22"/>
          <w:szCs w:val="22"/>
        </w:rPr>
        <w:t xml:space="preserve">) evidenció un problema severo en el escalamiento de la tabla operativa </w:t>
      </w:r>
      <w:r>
        <w:rPr>
          <w:rStyle w:val="CdigoHTML"/>
        </w:rPr>
        <w:t>BitacoraEvento</w:t>
      </w:r>
      <w:r>
        <w:rPr>
          <w:rFonts w:ascii="Calibri" w:hAnsi="Calibri" w:cs="Calibri"/>
          <w:sz w:val="22"/>
          <w:szCs w:val="22"/>
        </w:rPr>
        <w:t>:</w:t>
      </w:r>
    </w:p>
    <w:p w14:paraId="4A2833F0" w14:textId="77777777" w:rsidR="009F509F" w:rsidRDefault="009F509F" w:rsidP="009F50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Condición Inicial:</w:t>
      </w:r>
      <w:r>
        <w:rPr>
          <w:rFonts w:ascii="Calibri" w:eastAsia="Times New Roman" w:hAnsi="Calibri" w:cs="Calibri"/>
        </w:rPr>
        <w:t xml:space="preserve"> La tabla carecía de índices sobre </w:t>
      </w:r>
      <w:r>
        <w:rPr>
          <w:rStyle w:val="CdigoHTML"/>
        </w:rPr>
        <w:t>id_curp</w:t>
      </w:r>
      <w:r>
        <w:rPr>
          <w:rFonts w:ascii="Calibri" w:eastAsia="Times New Roman" w:hAnsi="Calibri" w:cs="Calibri"/>
        </w:rPr>
        <w:t xml:space="preserve">, </w:t>
      </w:r>
      <w:r>
        <w:rPr>
          <w:rStyle w:val="CdigoHTML"/>
        </w:rPr>
        <w:t>id_lote</w:t>
      </w:r>
      <w:r>
        <w:rPr>
          <w:rFonts w:ascii="Calibri" w:eastAsia="Times New Roman" w:hAnsi="Calibri" w:cs="Calibri"/>
        </w:rPr>
        <w:t xml:space="preserve"> y </w:t>
      </w:r>
      <w:r>
        <w:rPr>
          <w:rStyle w:val="CdigoHTML"/>
        </w:rPr>
        <w:t>fecha_evento</w:t>
      </w:r>
      <w:r>
        <w:rPr>
          <w:rFonts w:ascii="Calibri" w:eastAsia="Times New Roman" w:hAnsi="Calibri" w:cs="Calibri"/>
        </w:rPr>
        <w:t>.</w:t>
      </w:r>
    </w:p>
    <w:p w14:paraId="035D545C" w14:textId="77777777" w:rsidR="009F509F" w:rsidRDefault="009F509F" w:rsidP="009F50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Impacto:</w:t>
      </w:r>
      <w:r>
        <w:rPr>
          <w:rFonts w:ascii="Calibri" w:eastAsia="Times New Roman" w:hAnsi="Calibri" w:cs="Calibri"/>
        </w:rPr>
        <w:t xml:space="preserve"> Con miles de inserciones y consultas generadas por el servicio GraphQL (</w:t>
      </w:r>
      <w:r>
        <w:rPr>
          <w:rStyle w:val="CdigoHTML"/>
        </w:rPr>
        <w:t>download_service.py</w:t>
      </w:r>
      <w:r>
        <w:rPr>
          <w:rFonts w:ascii="Calibri" w:eastAsia="Times New Roman" w:hAnsi="Calibri" w:cs="Calibri"/>
        </w:rPr>
        <w:t xml:space="preserve">), la falta de estos índices forzaba un </w:t>
      </w:r>
      <w:r>
        <w:rPr>
          <w:rStyle w:val="CdigoHTML"/>
        </w:rPr>
        <w:t>Sequential Scan</w:t>
      </w:r>
      <w:r>
        <w:rPr>
          <w:rFonts w:ascii="Calibri" w:eastAsia="Times New Roman" w:hAnsi="Calibri" w:cs="Calibri"/>
        </w:rPr>
        <w:t xml:space="preserve"> cada vez que se requería validar el historial de una CURP, degradando exponencialmente los tiempos de respuesta de la API y de las tareas asíncronas conforme el lote avanzaba.</w:t>
      </w:r>
    </w:p>
    <w:p w14:paraId="2E79FC8E" w14:textId="77777777" w:rsidR="009F509F" w:rsidRDefault="009F509F" w:rsidP="009F50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Acción:</w:t>
      </w:r>
      <w:r>
        <w:rPr>
          <w:rFonts w:ascii="Calibri" w:eastAsia="Times New Roman" w:hAnsi="Calibri" w:cs="Calibri"/>
        </w:rPr>
        <w:t xml:space="preserve"> Se diseñó y propuso la creación inmediata de los índices </w:t>
      </w:r>
      <w:r>
        <w:rPr>
          <w:rStyle w:val="CdigoHTML"/>
        </w:rPr>
        <w:t>idx_bitacora_curp</w:t>
      </w:r>
      <w:r>
        <w:rPr>
          <w:rFonts w:ascii="Calibri" w:eastAsia="Times New Roman" w:hAnsi="Calibri" w:cs="Calibri"/>
        </w:rPr>
        <w:t xml:space="preserve"> e </w:t>
      </w:r>
      <w:r>
        <w:rPr>
          <w:rStyle w:val="CdigoHTML"/>
        </w:rPr>
        <w:t>idx_bitacora_lote</w:t>
      </w:r>
      <w:r>
        <w:rPr>
          <w:rFonts w:ascii="Calibri" w:eastAsia="Times New Roman" w:hAnsi="Calibri" w:cs="Calibri"/>
        </w:rPr>
        <w:t>.</w:t>
      </w:r>
    </w:p>
    <w:p w14:paraId="18DA90BB" w14:textId="77777777" w:rsidR="009F509F" w:rsidRDefault="009F509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Diseño e Implementación de Índices Compuestos</w:t>
      </w:r>
    </w:p>
    <w:p w14:paraId="13EF11CE" w14:textId="77777777" w:rsidR="009F509F" w:rsidRDefault="009F509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Para resolver los problemas de lectura en extracciones masivas:</w:t>
      </w:r>
    </w:p>
    <w:p w14:paraId="558AC455" w14:textId="77777777" w:rsidR="009F509F" w:rsidRDefault="009F509F" w:rsidP="009F50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  <w:b/>
          <w:bCs/>
        </w:rPr>
        <w:t>idx_menor_evaluado_cct_curp_ciclo</w:t>
      </w:r>
      <w:r>
        <w:rPr>
          <w:rStyle w:val="Fuerte"/>
          <w:rFonts w:ascii="Calibri" w:eastAsia="Times New Roman" w:hAnsi="Calibri" w:cs="Calibri"/>
        </w:rPr>
        <w:t>:</w:t>
      </w:r>
      <w:r>
        <w:rPr>
          <w:rFonts w:ascii="Calibri" w:eastAsia="Times New Roman" w:hAnsi="Calibri" w:cs="Calibri"/>
        </w:rPr>
        <w:t xml:space="preserve"> Este índice compuesto en la tabla principal (</w:t>
      </w:r>
      <w:r>
        <w:rPr>
          <w:rStyle w:val="CdigoHTML"/>
        </w:rPr>
        <w:t>menor_evaluado</w:t>
      </w:r>
      <w:r>
        <w:rPr>
          <w:rFonts w:ascii="Calibri" w:eastAsia="Times New Roman" w:hAnsi="Calibri" w:cs="Calibri"/>
        </w:rPr>
        <w:t>) se alineó con la condición de extracción prioritaria. Redujo dramáticamente el tiempo de extracción para validaciones.</w:t>
      </w:r>
    </w:p>
    <w:p w14:paraId="479AC912" w14:textId="77777777" w:rsidR="009F509F" w:rsidRDefault="009F509F" w:rsidP="009F50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  <w:b/>
          <w:bCs/>
        </w:rPr>
        <w:t>idx_curp_procesada_lote_estado</w:t>
      </w:r>
      <w:r>
        <w:rPr>
          <w:rStyle w:val="Fuerte"/>
          <w:rFonts w:ascii="Calibri" w:eastAsia="Times New Roman" w:hAnsi="Calibri" w:cs="Calibri"/>
        </w:rPr>
        <w:t>:</w:t>
      </w:r>
      <w:r>
        <w:rPr>
          <w:rFonts w:ascii="Calibri" w:eastAsia="Times New Roman" w:hAnsi="Calibri" w:cs="Calibri"/>
        </w:rPr>
        <w:t xml:space="preserve"> Generado específicamente para solventar latencias observadas al recuperar registros fallidos (</w:t>
      </w:r>
      <w:r>
        <w:rPr>
          <w:rStyle w:val="CdigoHTML"/>
        </w:rPr>
        <w:t>estado_descarga = 'FALLO'</w:t>
      </w:r>
      <w:r>
        <w:rPr>
          <w:rFonts w:ascii="Calibri" w:eastAsia="Times New Roman" w:hAnsi="Calibri" w:cs="Calibri"/>
        </w:rPr>
        <w:t xml:space="preserve">) durante el proceso iterativo de </w:t>
      </w:r>
      <w:r>
        <w:rPr>
          <w:rStyle w:val="CdigoHTML"/>
        </w:rPr>
        <w:t>run_reproceso.py</w:t>
      </w:r>
      <w:r>
        <w:rPr>
          <w:rFonts w:ascii="Calibri" w:eastAsia="Times New Roman" w:hAnsi="Calibri" w:cs="Calibri"/>
        </w:rPr>
        <w:t>.</w:t>
      </w:r>
    </w:p>
    <w:p w14:paraId="1820895D" w14:textId="77777777" w:rsidR="009F509F" w:rsidRDefault="009F509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Administración del Pool de Conexiones y Capacidad</w:t>
      </w:r>
    </w:p>
    <w:p w14:paraId="334275C0" w14:textId="77777777" w:rsidR="009F509F" w:rsidRDefault="009F509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Pruebas de estrés documentadas en la *Bitácora del Proyecto* confirmaron que superar los 20 hilos simultáneos (</w:t>
      </w:r>
      <w:r>
        <w:rPr>
          <w:rStyle w:val="CdigoHTML"/>
        </w:rPr>
        <w:t>WORKERS=20</w:t>
      </w:r>
      <w:r>
        <w:rPr>
          <w:rFonts w:ascii="Calibri" w:hAnsi="Calibri" w:cs="Calibri"/>
          <w:sz w:val="22"/>
          <w:szCs w:val="22"/>
        </w:rPr>
        <w:t xml:space="preserve">) producía una avalancha de conexiones concurrentes en PostgreSQL, provocando *Connection Timeouts* a nivel del driver </w:t>
      </w:r>
      <w:r>
        <w:rPr>
          <w:rStyle w:val="CdigoHTML"/>
        </w:rPr>
        <w:t>pg8000</w:t>
      </w:r>
      <w:r>
        <w:rPr>
          <w:rFonts w:ascii="Calibri" w:hAnsi="Calibri" w:cs="Calibri"/>
          <w:sz w:val="22"/>
          <w:szCs w:val="22"/>
        </w:rPr>
        <w:t xml:space="preserve"> y bloqueos por WAF (Web Application Firewall).</w:t>
      </w:r>
    </w:p>
    <w:p w14:paraId="17AC0CBC" w14:textId="77777777" w:rsidR="009F509F" w:rsidRDefault="009F509F" w:rsidP="009F50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Mitigación de Rendimiento:</w:t>
      </w:r>
      <w:r>
        <w:rPr>
          <w:rFonts w:ascii="Calibri" w:eastAsia="Times New Roman" w:hAnsi="Calibri" w:cs="Calibri"/>
        </w:rPr>
        <w:t xml:space="preserve"> La configuración óptima para evitar la contención de red y degradación de I/O en la base de datos se ajustó a un rango de </w:t>
      </w:r>
      <w:r>
        <w:rPr>
          <w:rStyle w:val="Fuerte"/>
          <w:rFonts w:ascii="Calibri" w:eastAsia="Times New Roman" w:hAnsi="Calibri" w:cs="Calibri"/>
        </w:rPr>
        <w:t>12 a 15 hilos</w:t>
      </w:r>
      <w:r>
        <w:rPr>
          <w:rFonts w:ascii="Calibri" w:eastAsia="Times New Roman" w:hAnsi="Calibri" w:cs="Calibri"/>
        </w:rPr>
        <w:t xml:space="preserve">. Este ajuste, junto con el mecanismo de *Circuit Breaker*, estabilizó la capacidad transaccional logrando tasas de éxito del </w:t>
      </w:r>
      <w:r>
        <w:rPr>
          <w:rStyle w:val="Fuerte"/>
          <w:rFonts w:ascii="Calibri" w:eastAsia="Times New Roman" w:hAnsi="Calibri" w:cs="Calibri"/>
        </w:rPr>
        <w:t>99.83%</w:t>
      </w:r>
      <w:r>
        <w:rPr>
          <w:rFonts w:ascii="Calibri" w:eastAsia="Times New Roman" w:hAnsi="Calibri" w:cs="Calibri"/>
        </w:rPr>
        <w:t xml:space="preserve"> en procesamientos continuos.</w:t>
      </w:r>
    </w:p>
    <w:p w14:paraId="3E7154CD" w14:textId="77777777" w:rsidR="009F509F" w:rsidRDefault="009F509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Matriz de Capacidad y Contención (Pool de Conexiones)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1975"/>
        <w:gridCol w:w="1243"/>
        <w:gridCol w:w="1982"/>
        <w:gridCol w:w="2032"/>
      </w:tblGrid>
      <w:tr w:rsidR="009F509F" w14:paraId="3063722C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CF0169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 xml:space="preserve">Configuración </w:t>
            </w:r>
            <w:r>
              <w:rPr>
                <w:rStyle w:val="CdigoHTML"/>
                <w:b/>
                <w:bCs/>
              </w:rPr>
              <w:t>WORKERS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75D0D1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Nivel de Concurrencia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D8BA31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Tasa de Éxito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6BC297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Errores HTTP 429 / WAF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14FE10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Estado de BD (pg8000)</w:t>
            </w:r>
          </w:p>
        </w:tc>
      </w:tr>
      <w:tr w:rsidR="009F509F" w14:paraId="481EED9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1FCAF6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 (Fase Inicial)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BA3C6C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Crítico / Saturación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ACDB38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&lt; 90%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62C0F9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Altos (Baneo IP)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91CAD3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Múltiples </w:t>
            </w:r>
            <w:r>
              <w:rPr>
                <w:rStyle w:val="CdigoHTML"/>
              </w:rPr>
              <w:t>Timeouts</w:t>
            </w:r>
          </w:p>
        </w:tc>
      </w:tr>
      <w:tr w:rsidR="009F509F" w14:paraId="4D7E25F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8DE477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15 (Óptimo)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8299ED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Estable / Balanceado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57D3C5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99.83%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63E8A8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Nulos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E168CB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Fuerte"/>
                <w:rFonts w:ascii="Calibri" w:eastAsia="Times New Roman" w:hAnsi="Calibri" w:cs="Calibri"/>
              </w:rPr>
              <w:t>Saludable</w:t>
            </w:r>
          </w:p>
        </w:tc>
      </w:tr>
      <w:tr w:rsidR="009F509F" w14:paraId="070ACE8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823B21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 (Conservador)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23641D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Bajo / Lento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C48194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ABEAD4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Nulos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5C753F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Subutilización de I/O</w:t>
            </w:r>
          </w:p>
        </w:tc>
      </w:tr>
    </w:tbl>
    <w:p w14:paraId="44A0CB75" w14:textId="77777777" w:rsidR="009F509F" w:rsidRDefault="009F509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Resultados Analíticos y Medición de Impacto</w:t>
      </w:r>
    </w:p>
    <w:p w14:paraId="67AA21DE" w14:textId="77777777" w:rsidR="009F509F" w:rsidRDefault="009F509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Las métricas levantadas con </w:t>
      </w:r>
      <w:r>
        <w:rPr>
          <w:rStyle w:val="CdigoHTML"/>
        </w:rPr>
        <w:t>EXPLAIN ANALYZE</w:t>
      </w:r>
      <w:r>
        <w:rPr>
          <w:rFonts w:ascii="Calibri" w:hAnsi="Calibri" w:cs="Calibri"/>
          <w:sz w:val="22"/>
          <w:szCs w:val="22"/>
        </w:rPr>
        <w:t xml:space="preserve"> tras la aplicación de los índices confirmaron una optimización rotunda:</w:t>
      </w:r>
    </w:p>
    <w:p w14:paraId="04E21DBD" w14:textId="77777777" w:rsidR="009F509F" w:rsidRDefault="009F509F" w:rsidP="009F50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Tiempos de Extracción:</w:t>
      </w:r>
      <w:r>
        <w:rPr>
          <w:rFonts w:ascii="Calibri" w:eastAsia="Times New Roman" w:hAnsi="Calibri" w:cs="Calibri"/>
        </w:rPr>
        <w:t xml:space="preserve"> El tiempo promedio de extracción por bloque de 5,000 registros pasó de </w:t>
      </w:r>
      <w:r>
        <w:rPr>
          <w:rStyle w:val="Fuerte"/>
          <w:rFonts w:ascii="Calibri" w:eastAsia="Times New Roman" w:hAnsi="Calibri" w:cs="Calibri"/>
        </w:rPr>
        <w:t>3.20 segundos</w:t>
      </w:r>
      <w:r>
        <w:rPr>
          <w:rFonts w:ascii="Calibri" w:eastAsia="Times New Roman" w:hAnsi="Calibri" w:cs="Calibri"/>
        </w:rPr>
        <w:t xml:space="preserve"> (registrados teóricamente en abril) a </w:t>
      </w:r>
      <w:r>
        <w:rPr>
          <w:rStyle w:val="Fuerte"/>
          <w:rFonts w:ascii="Calibri" w:eastAsia="Times New Roman" w:hAnsi="Calibri" w:cs="Calibri"/>
        </w:rPr>
        <w:t>0.18 segundos</w:t>
      </w:r>
      <w:r>
        <w:rPr>
          <w:rFonts w:ascii="Calibri" w:eastAsia="Times New Roman" w:hAnsi="Calibri" w:cs="Calibri"/>
        </w:rPr>
        <w:t xml:space="preserve"> en el entorno DEV de mayo. Representa una mejora del </w:t>
      </w:r>
      <w:r>
        <w:rPr>
          <w:rStyle w:val="Fuerte"/>
          <w:rFonts w:ascii="Calibri" w:eastAsia="Times New Roman" w:hAnsi="Calibri" w:cs="Calibri"/>
        </w:rPr>
        <w:t>94.3%</w:t>
      </w:r>
      <w:r>
        <w:rPr>
          <w:rFonts w:ascii="Calibri" w:eastAsia="Times New Roman" w:hAnsi="Calibri" w:cs="Calibri"/>
        </w:rPr>
        <w:t>.</w:t>
      </w:r>
    </w:p>
    <w:p w14:paraId="719B9833" w14:textId="77777777" w:rsidR="009F509F" w:rsidRDefault="009F509F" w:rsidP="009F50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Execution Plans:</w:t>
      </w:r>
      <w:r>
        <w:rPr>
          <w:rFonts w:ascii="Calibri" w:eastAsia="Times New Roman" w:hAnsi="Calibri" w:cs="Calibri"/>
        </w:rPr>
        <w:t xml:space="preserve"> Se validó el reemplazo total de los *Seq Scans* por *Index Only Scans* y *Bitmap Heap Scans* en las vistas de validación, garantizando que el sistema sea capaz de escalar sin saturar los búferes de memoria.</w:t>
      </w:r>
    </w:p>
    <w:p w14:paraId="792AD3BC" w14:textId="77777777" w:rsidR="009F509F" w:rsidRDefault="009F509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Cuadro Comparativo de Costo de Ejecución (EXPLAIN ANALYZE)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597"/>
        <w:gridCol w:w="4543"/>
        <w:gridCol w:w="1242"/>
      </w:tblGrid>
      <w:tr w:rsidR="009F509F" w14:paraId="0E81D6D2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09D332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Tabla / Consulta Principal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F827C4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Plan Anterior (Sin Índices)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1A54C2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Plan Actual (Con Índices Compuestos)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32660E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Costo Relativo</w:t>
            </w:r>
          </w:p>
        </w:tc>
      </w:tr>
      <w:tr w:rsidR="009F509F" w14:paraId="2201BAB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1ADE74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BitacoraEvento</w:t>
            </w:r>
            <w:r>
              <w:rPr>
                <w:rFonts w:ascii="Calibri" w:eastAsia="Times New Roman" w:hAnsi="Calibri" w:cs="Calibri"/>
              </w:rPr>
              <w:t xml:space="preserve"> (Lote)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D4C967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Sequential Scan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3F5646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Bitmap Heap Scan</w:t>
            </w:r>
            <w:r>
              <w:rPr>
                <w:rFonts w:ascii="Calibri" w:eastAsia="Times New Roman" w:hAnsi="Calibri" w:cs="Calibri"/>
              </w:rPr>
              <w:t xml:space="preserve"> sobre </w:t>
            </w:r>
            <w:r>
              <w:rPr>
                <w:rStyle w:val="CdigoHTML"/>
              </w:rPr>
              <w:t>idx_bitacora_lote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DD9DF7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Reducción del 85%</w:t>
            </w:r>
          </w:p>
        </w:tc>
      </w:tr>
      <w:tr w:rsidR="009F509F" w14:paraId="15FEBDE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65AC5E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menor_evaluado</w:t>
            </w:r>
            <w:r>
              <w:rPr>
                <w:rFonts w:ascii="Calibri" w:eastAsia="Times New Roman" w:hAnsi="Calibri" w:cs="Calibri"/>
              </w:rPr>
              <w:t xml:space="preserve"> (Cruce)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926578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Hash Join</w:t>
            </w:r>
            <w:r>
              <w:rPr>
                <w:rFonts w:ascii="Calibri" w:eastAsia="Times New Roman" w:hAnsi="Calibri" w:cs="Calibri"/>
              </w:rPr>
              <w:t xml:space="preserve"> + </w:t>
            </w:r>
            <w:r>
              <w:rPr>
                <w:rStyle w:val="CdigoHTML"/>
              </w:rPr>
              <w:t>Seq Scan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4B85D5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Index Only Scan</w:t>
            </w:r>
            <w:r>
              <w:rPr>
                <w:rFonts w:ascii="Calibri" w:eastAsia="Times New Roman" w:hAnsi="Calibri" w:cs="Calibri"/>
              </w:rPr>
              <w:t xml:space="preserve"> (</w:t>
            </w:r>
            <w:r>
              <w:rPr>
                <w:rStyle w:val="CdigoHTML"/>
              </w:rPr>
              <w:t>idx_menor_evaluado_cct_curp_ciclo</w:t>
            </w:r>
            <w:r>
              <w:rPr>
                <w:rFonts w:ascii="Calibri" w:eastAsia="Times New Roman" w:hAnsi="Calibri" w:cs="Calibri"/>
              </w:rPr>
              <w:t>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5A2308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Reducción del 94.3%</w:t>
            </w:r>
          </w:p>
        </w:tc>
      </w:tr>
      <w:tr w:rsidR="009F509F" w14:paraId="4DA10E2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C81225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CurpProcesada</w:t>
            </w:r>
            <w:r>
              <w:rPr>
                <w:rFonts w:ascii="Calibri" w:eastAsia="Times New Roman" w:hAnsi="Calibri" w:cs="Calibri"/>
              </w:rPr>
              <w:t xml:space="preserve"> (Fallos)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6CFD5E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Sequential Scan</w:t>
            </w:r>
            <w:r>
              <w:rPr>
                <w:rFonts w:ascii="Calibri" w:eastAsia="Times New Roman" w:hAnsi="Calibri" w:cs="Calibri"/>
              </w:rPr>
              <w:t xml:space="preserve"> con Filtro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40D685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Index Scan</w:t>
            </w:r>
            <w:r>
              <w:rPr>
                <w:rFonts w:ascii="Calibri" w:eastAsia="Times New Roman" w:hAnsi="Calibri" w:cs="Calibri"/>
              </w:rPr>
              <w:t xml:space="preserve"> (</w:t>
            </w:r>
            <w:r>
              <w:rPr>
                <w:rStyle w:val="CdigoHTML"/>
              </w:rPr>
              <w:t>idx_curp_procesada_lote_estado</w:t>
            </w:r>
            <w:r>
              <w:rPr>
                <w:rFonts w:ascii="Calibri" w:eastAsia="Times New Roman" w:hAnsi="Calibri" w:cs="Calibri"/>
              </w:rPr>
              <w:t>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7257D9" w14:textId="77777777" w:rsidR="009F509F" w:rsidRDefault="009F509F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Reducción del 92%</w:t>
            </w:r>
          </w:p>
        </w:tc>
      </w:tr>
    </w:tbl>
    <w:p w14:paraId="36A7C9DA" w14:textId="77777777" w:rsidR="009F509F" w:rsidRDefault="009F509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Recomendaciones de Capacity Planning (Siguiente Semestre)</w:t>
      </w:r>
    </w:p>
    <w:p w14:paraId="5DF77D12" w14:textId="77777777" w:rsidR="009F509F" w:rsidRDefault="009F509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sz w:val="22"/>
          <w:szCs w:val="22"/>
        </w:rPr>
        <w:t>Paginación Fuerte en la API GraphQL:</w:t>
      </w:r>
      <w:r>
        <w:rPr>
          <w:rFonts w:ascii="Calibri" w:hAnsi="Calibri" w:cs="Calibri"/>
          <w:sz w:val="22"/>
          <w:szCs w:val="22"/>
        </w:rPr>
        <w:t xml:space="preserve"> El análisis demostró que las consultas a la base de datos sin límite de tasa (</w:t>
      </w:r>
      <w:r>
        <w:rPr>
          <w:rStyle w:val="CdigoHTML"/>
        </w:rPr>
        <w:t>rate limiting</w:t>
      </w:r>
      <w:r>
        <w:rPr>
          <w:rFonts w:ascii="Calibri" w:hAnsi="Calibri" w:cs="Calibri"/>
          <w:sz w:val="22"/>
          <w:szCs w:val="22"/>
        </w:rPr>
        <w:t>) y límites muy altos (</w:t>
      </w:r>
      <w:r>
        <w:rPr>
          <w:rStyle w:val="CdigoHTML"/>
        </w:rPr>
        <w:t>limit: 1000</w:t>
      </w:r>
      <w:r>
        <w:rPr>
          <w:rFonts w:ascii="Calibri" w:hAnsi="Calibri" w:cs="Calibri"/>
          <w:sz w:val="22"/>
          <w:szCs w:val="22"/>
        </w:rPr>
        <w:t>) pueden colapsar el servicio. Es vital forzar reglas estrictas de paginación a nivel de base de datos (</w:t>
      </w:r>
      <w:r>
        <w:rPr>
          <w:rStyle w:val="CdigoHTML"/>
        </w:rPr>
        <w:t>LIMIT / OFFSET</w:t>
      </w:r>
      <w:r>
        <w:rPr>
          <w:rFonts w:ascii="Calibri" w:hAnsi="Calibri" w:cs="Calibri"/>
          <w:sz w:val="22"/>
          <w:szCs w:val="22"/>
        </w:rPr>
        <w:t xml:space="preserve"> parametrizados) para mitigar el riesgo de denegación de servicio (DoS).</w:t>
      </w:r>
    </w:p>
    <w:p w14:paraId="7A860350" w14:textId="77777777" w:rsidR="009F509F" w:rsidRDefault="009F509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Fuerte"/>
          <w:rFonts w:ascii="Calibri" w:hAnsi="Calibri" w:cs="Calibri"/>
          <w:sz w:val="22"/>
          <w:szCs w:val="22"/>
        </w:rPr>
        <w:t>Monitoreo de *Index Bloat*:</w:t>
      </w:r>
      <w:r>
        <w:rPr>
          <w:rFonts w:ascii="Calibri" w:hAnsi="Calibri" w:cs="Calibri"/>
          <w:sz w:val="22"/>
          <w:szCs w:val="22"/>
        </w:rPr>
        <w:t xml:space="preserve"> Dado el gran volumen de </w:t>
      </w:r>
      <w:r>
        <w:rPr>
          <w:rStyle w:val="CdigoHTML"/>
        </w:rPr>
        <w:t>UPDATE</w:t>
      </w:r>
      <w:r>
        <w:rPr>
          <w:rFonts w:ascii="Calibri" w:hAnsi="Calibri" w:cs="Calibri"/>
          <w:sz w:val="22"/>
          <w:szCs w:val="22"/>
        </w:rPr>
        <w:t xml:space="preserve"> sobre la tabla </w:t>
      </w:r>
      <w:r>
        <w:rPr>
          <w:rStyle w:val="CdigoHTML"/>
        </w:rPr>
        <w:t>CurpProcesada</w:t>
      </w:r>
      <w:r>
        <w:rPr>
          <w:rFonts w:ascii="Calibri" w:hAnsi="Calibri" w:cs="Calibri"/>
          <w:sz w:val="22"/>
          <w:szCs w:val="22"/>
        </w:rPr>
        <w:t xml:space="preserve"> (actualizando estados y rutas de PDF), es altamente probable que PostgreSQL sufra de hinchamiento de índices. Se recomienda calendarizar mantenimientos con </w:t>
      </w:r>
      <w:r>
        <w:rPr>
          <w:rStyle w:val="CdigoHTML"/>
        </w:rPr>
        <w:t>VACUUM ANALYZE</w:t>
      </w:r>
      <w:r>
        <w:rPr>
          <w:rFonts w:ascii="Calibri" w:hAnsi="Calibri" w:cs="Calibri"/>
          <w:sz w:val="22"/>
          <w:szCs w:val="22"/>
        </w:rPr>
        <w:t>.</w:t>
      </w:r>
    </w:p>
    <w:p w14:paraId="023A03DC" w14:textId="77777777" w:rsidR="009F509F" w:rsidRDefault="009F509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Próximos Pasos (Junio 2026)</w:t>
      </w:r>
    </w:p>
    <w:p w14:paraId="06B2C2B3" w14:textId="77777777" w:rsidR="009F509F" w:rsidRDefault="009F509F" w:rsidP="009F50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Aplicar los índices faltantes en la tabla </w:t>
      </w:r>
      <w:r>
        <w:rPr>
          <w:rStyle w:val="CdigoHTML"/>
        </w:rPr>
        <w:t>BitacoraEvento</w:t>
      </w:r>
      <w:r>
        <w:rPr>
          <w:rFonts w:ascii="Calibri" w:eastAsia="Times New Roman" w:hAnsi="Calibri" w:cs="Calibri"/>
        </w:rPr>
        <w:t xml:space="preserve"> en todos los ambientes.</w:t>
      </w:r>
    </w:p>
    <w:p w14:paraId="12E41437" w14:textId="77777777" w:rsidR="009F509F" w:rsidRDefault="009F509F" w:rsidP="009F50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Validar y auditar la integridad del hash criptográfico (</w:t>
      </w:r>
      <w:r>
        <w:rPr>
          <w:rStyle w:val="CdigoHTML"/>
        </w:rPr>
        <w:t>STANDARD_HASH</w:t>
      </w:r>
      <w:r>
        <w:rPr>
          <w:rFonts w:ascii="Calibri" w:eastAsia="Times New Roman" w:hAnsi="Calibri" w:cs="Calibri"/>
        </w:rPr>
        <w:t>) de las vistas de MUSEMS-PU frente a escenarios productivos con PII real.</w:t>
      </w:r>
    </w:p>
    <w:p w14:paraId="52E83B84" w14:textId="77777777" w:rsidR="009F509F" w:rsidRDefault="009F509F" w:rsidP="009F50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Integrar reportes automatizados de planes de ejecución (</w:t>
      </w:r>
      <w:r>
        <w:rPr>
          <w:rStyle w:val="CdigoHTML"/>
        </w:rPr>
        <w:t>EXPLAIN</w:t>
      </w:r>
      <w:r>
        <w:rPr>
          <w:rFonts w:ascii="Calibri" w:eastAsia="Times New Roman" w:hAnsi="Calibri" w:cs="Calibri"/>
        </w:rPr>
        <w:t>) en los pipelines de CI/CD para detectar degradación temprana.</w:t>
      </w:r>
    </w:p>
    <w:p w14:paraId="324014BA" w14:textId="77777777" w:rsidR="009F509F" w:rsidRDefault="009F509F" w:rsidP="009F50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Preparar el informe de cierre trimestral con el consolidado de rendimiento frente a la carga real de producción.</w:t>
      </w:r>
    </w:p>
    <w:p w14:paraId="5F67F697" w14:textId="77777777" w:rsidR="009F509F" w:rsidRDefault="009F509F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9A68AC7">
          <v:rect id="_x0000_i1026" style="width:0;height:1.5pt" o:hralign="center" o:hrstd="t" o:hr="t" fillcolor="#a0a0a0" stroked="f"/>
        </w:pict>
      </w:r>
    </w:p>
    <w:p w14:paraId="326BE296" w14:textId="77777777" w:rsidR="009F509F" w:rsidRDefault="009F509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Comentarios adicionales:</w:t>
      </w:r>
    </w:p>
    <w:p w14:paraId="6FE06543" w14:textId="77777777" w:rsidR="009F509F" w:rsidRDefault="009F509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Este entregable corresponde al avance de mayo de 2026 y demuestra el paso de una estrategia teórica (abril) a una resolución técnica proactiva (mayo). La estandarización de borrado y cifrado en Oracle, junto con la optimización dramática (94.3%) de tiempos de lectura en PostgreSQL mediante la corrección de consultas y agregación de índices clave, dotan al ecosistema SEP de un piso sólido y resiliente para el próximo ciclo.</w:t>
      </w:r>
    </w:p>
    <w:p w14:paraId="356666F4" w14:textId="77777777" w:rsidR="00762984" w:rsidRPr="00762984" w:rsidRDefault="00762984" w:rsidP="00762984">
      <w:pPr>
        <w:rPr>
          <w:rFonts w:asciiTheme="minorHAnsi" w:hAnsiTheme="minorHAnsi"/>
          <w:color w:val="auto"/>
        </w:rPr>
      </w:pPr>
    </w:p>
    <w:p w14:paraId="34886560" w14:textId="77777777" w:rsidR="00762984" w:rsidRPr="00762984" w:rsidRDefault="00762984" w:rsidP="00762984">
      <w:pPr>
        <w:rPr>
          <w:rFonts w:asciiTheme="minorHAnsi" w:hAnsiTheme="minorHAnsi"/>
          <w:color w:val="auto"/>
        </w:rPr>
      </w:pPr>
    </w:p>
    <w:p w14:paraId="6FA5D955" w14:textId="77777777" w:rsidR="00762984" w:rsidRPr="00762984" w:rsidRDefault="00762984" w:rsidP="00762984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0" w:name="_Toc217296775"/>
      <w:bookmarkStart w:id="1" w:name="_Toc219739752"/>
      <w:r w:rsidRPr="0076298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8. Sección de firmas</w:t>
      </w:r>
      <w:bookmarkEnd w:id="0"/>
      <w:bookmarkEnd w:id="1"/>
    </w:p>
    <w:p w14:paraId="488F7A54" w14:textId="77777777" w:rsidR="00762984" w:rsidRPr="00762984" w:rsidRDefault="00762984" w:rsidP="00762984">
      <w:pPr>
        <w:rPr>
          <w:rFonts w:asciiTheme="minorHAnsi" w:hAnsiTheme="minorHAnsi"/>
          <w:color w:val="auto"/>
        </w:rPr>
      </w:pPr>
    </w:p>
    <w:p w14:paraId="4354CA72" w14:textId="77777777" w:rsidR="00762984" w:rsidRPr="00762984" w:rsidRDefault="00762984" w:rsidP="00762984">
      <w:pPr>
        <w:rPr>
          <w:rFonts w:ascii="Arial" w:hAnsi="Arial" w:cs="Arial"/>
          <w:color w:val="auto"/>
        </w:rPr>
      </w:pPr>
      <w:r w:rsidRPr="00762984">
        <w:rPr>
          <w:rFonts w:ascii="Arial" w:hAnsi="Arial" w:cs="Arial"/>
          <w:color w:val="auto"/>
        </w:rPr>
        <w:t>Tras la revisión del documento,</w:t>
      </w:r>
      <w:r w:rsidRPr="00762984">
        <w:rPr>
          <w:rFonts w:asciiTheme="minorHAnsi" w:hAnsiTheme="minorHAnsi"/>
          <w:color w:val="auto"/>
        </w:rPr>
        <w:t xml:space="preserve"> s</w:t>
      </w:r>
      <w:r w:rsidRPr="00762984">
        <w:rPr>
          <w:rFonts w:ascii="Arial" w:hAnsi="Arial" w:cs="Arial"/>
          <w:color w:val="auto"/>
        </w:rPr>
        <w:t>e presentan las firmas de elaboración y aprobación:</w:t>
      </w:r>
    </w:p>
    <w:p w14:paraId="1BADAD35" w14:textId="77777777" w:rsidR="00B614EE" w:rsidRDefault="00B614EE" w:rsidP="003B7A12">
      <w:pPr>
        <w:spacing w:line="360" w:lineRule="auto"/>
        <w:rPr>
          <w:rFonts w:ascii="Montserrat" w:hAnsi="Montserrat"/>
          <w:sz w:val="24"/>
          <w:szCs w:val="24"/>
        </w:rPr>
      </w:pPr>
    </w:p>
    <w:p w14:paraId="0A2D1410" w14:textId="77777777" w:rsidR="00B614EE" w:rsidRPr="003B7A12" w:rsidRDefault="00B614EE" w:rsidP="003B7A12">
      <w:pPr>
        <w:spacing w:line="360" w:lineRule="auto"/>
        <w:rPr>
          <w:rFonts w:ascii="Montserrat" w:hAnsi="Montserrat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19"/>
        <w:gridCol w:w="4631"/>
      </w:tblGrid>
      <w:tr w:rsidR="00C72784" w:rsidRPr="003B7A12" w14:paraId="1DCD0059" w14:textId="77777777" w:rsidTr="00E41D98">
        <w:trPr>
          <w:trHeight w:val="1410"/>
        </w:trPr>
        <w:tc>
          <w:tcPr>
            <w:tcW w:w="4675" w:type="dxa"/>
          </w:tcPr>
          <w:p w14:paraId="39E4F0BD" w14:textId="77777777" w:rsidR="00C72784" w:rsidRPr="003B7A12" w:rsidRDefault="00C72784" w:rsidP="003B7A12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EF450D0" w14:textId="77777777" w:rsidR="00C72784" w:rsidRPr="003B7A12" w:rsidRDefault="00C72784" w:rsidP="003B7A12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</w:p>
        </w:tc>
      </w:tr>
      <w:tr w:rsidR="00C72784" w:rsidRPr="003B7A12" w14:paraId="7D0815A2" w14:textId="77777777" w:rsidTr="00E41D98">
        <w:tc>
          <w:tcPr>
            <w:tcW w:w="4675" w:type="dxa"/>
          </w:tcPr>
          <w:p w14:paraId="5C93266E" w14:textId="38C4471D" w:rsidR="00C72784" w:rsidRPr="003B7A12" w:rsidRDefault="003A3A97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>
              <w:rPr>
                <w:rFonts w:ascii="Montserrat" w:hAnsi="Montserrat" w:cs="Noto Sans"/>
                <w:bCs/>
                <w:i/>
                <w:iCs/>
                <w:sz w:val="24"/>
                <w:szCs w:val="24"/>
              </w:rPr>
              <w:t xml:space="preserve">Victor </w:t>
            </w:r>
            <w:r w:rsidR="00055D65">
              <w:rPr>
                <w:rFonts w:ascii="Montserrat" w:hAnsi="Montserrat" w:cs="Noto Sans"/>
                <w:bCs/>
                <w:i/>
                <w:iCs/>
                <w:sz w:val="24"/>
                <w:szCs w:val="24"/>
              </w:rPr>
              <w:t>Lelo de Larrea Polanco</w:t>
            </w:r>
          </w:p>
        </w:tc>
        <w:tc>
          <w:tcPr>
            <w:tcW w:w="4675" w:type="dxa"/>
          </w:tcPr>
          <w:p w14:paraId="14362A79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David León Gómez</w:t>
            </w:r>
          </w:p>
        </w:tc>
      </w:tr>
      <w:tr w:rsidR="00C72784" w:rsidRPr="003B7A12" w14:paraId="4EFFA3A4" w14:textId="77777777" w:rsidTr="00E41D98">
        <w:tc>
          <w:tcPr>
            <w:tcW w:w="4675" w:type="dxa"/>
          </w:tcPr>
          <w:p w14:paraId="3A32D21A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Jefatura de departamento</w:t>
            </w:r>
          </w:p>
        </w:tc>
        <w:tc>
          <w:tcPr>
            <w:tcW w:w="4675" w:type="dxa"/>
          </w:tcPr>
          <w:p w14:paraId="4AB2F8CD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Subdirector de Área</w:t>
            </w:r>
          </w:p>
        </w:tc>
      </w:tr>
      <w:tr w:rsidR="00C72784" w:rsidRPr="003B7A12" w14:paraId="18A22D1F" w14:textId="77777777" w:rsidTr="00E41D98">
        <w:tc>
          <w:tcPr>
            <w:tcW w:w="4675" w:type="dxa"/>
          </w:tcPr>
          <w:p w14:paraId="4035BC3F" w14:textId="6EF73872" w:rsidR="00C72784" w:rsidRPr="003B7A12" w:rsidRDefault="000370F9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>
              <w:rPr>
                <w:rFonts w:ascii="Montserrat" w:hAnsi="Montserrat" w:cs="Noto Sans"/>
                <w:bCs/>
                <w:i/>
                <w:sz w:val="24"/>
                <w:szCs w:val="24"/>
              </w:rPr>
              <w:t>v</w:t>
            </w:r>
            <w:r w:rsidR="00055D65">
              <w:rPr>
                <w:rFonts w:ascii="Montserrat" w:hAnsi="Montserrat" w:cs="Noto Sans"/>
                <w:bCs/>
                <w:i/>
                <w:sz w:val="24"/>
                <w:szCs w:val="24"/>
              </w:rPr>
              <w:t>ictor.lelodelarrea</w:t>
            </w:r>
            <w:r w:rsidR="00C72784"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@nube.sep.gob.mx</w:t>
            </w:r>
          </w:p>
        </w:tc>
        <w:tc>
          <w:tcPr>
            <w:tcW w:w="4675" w:type="dxa"/>
          </w:tcPr>
          <w:p w14:paraId="6883856A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david.leon@nube.sep.gob.mx</w:t>
            </w:r>
          </w:p>
        </w:tc>
      </w:tr>
      <w:tr w:rsidR="00C72784" w:rsidRPr="003B7A12" w14:paraId="0E84DC51" w14:textId="77777777" w:rsidTr="00E41D98">
        <w:tc>
          <w:tcPr>
            <w:tcW w:w="4675" w:type="dxa"/>
          </w:tcPr>
          <w:p w14:paraId="20A9AA2C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4675" w:type="dxa"/>
          </w:tcPr>
          <w:p w14:paraId="27F21E65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55917</w:t>
            </w:r>
          </w:p>
        </w:tc>
      </w:tr>
      <w:tr w:rsidR="00C72784" w:rsidRPr="003B7A12" w14:paraId="7419E76D" w14:textId="77777777" w:rsidTr="00E41D98">
        <w:trPr>
          <w:trHeight w:val="382"/>
        </w:trPr>
        <w:tc>
          <w:tcPr>
            <w:tcW w:w="4675" w:type="dxa"/>
          </w:tcPr>
          <w:p w14:paraId="1A04B7D1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/>
                <w:sz w:val="24"/>
                <w:szCs w:val="24"/>
              </w:rPr>
              <w:t>ELABORÓ</w:t>
            </w:r>
          </w:p>
        </w:tc>
        <w:tc>
          <w:tcPr>
            <w:tcW w:w="4675" w:type="dxa"/>
          </w:tcPr>
          <w:p w14:paraId="420C7CBB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/>
                <w:sz w:val="24"/>
                <w:szCs w:val="24"/>
              </w:rPr>
              <w:t>REVISÓ</w:t>
            </w:r>
          </w:p>
        </w:tc>
      </w:tr>
    </w:tbl>
    <w:p w14:paraId="4D1E6F4D" w14:textId="77777777" w:rsidR="00281FCA" w:rsidRPr="003B7A12" w:rsidRDefault="00281FCA" w:rsidP="003B7A12">
      <w:pPr>
        <w:spacing w:line="360" w:lineRule="auto"/>
        <w:rPr>
          <w:rFonts w:ascii="Montserrat" w:hAnsi="Montserrat"/>
          <w:sz w:val="24"/>
          <w:szCs w:val="24"/>
        </w:rPr>
      </w:pPr>
    </w:p>
    <w:sectPr w:rsidR="00281FCA" w:rsidRPr="003B7A12" w:rsidSect="007F0EDD">
      <w:headerReference w:type="default" r:id="rId9"/>
      <w:footerReference w:type="default" r:id="rId10"/>
      <w:pgSz w:w="12240" w:h="15840"/>
      <w:pgMar w:top="2268" w:right="1440" w:bottom="2269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965A4" w14:textId="77777777" w:rsidR="00CC354D" w:rsidRPr="003A5DB2" w:rsidRDefault="00CC354D" w:rsidP="00997E2E">
      <w:r w:rsidRPr="003A5DB2">
        <w:separator/>
      </w:r>
    </w:p>
  </w:endnote>
  <w:endnote w:type="continuationSeparator" w:id="0">
    <w:p w14:paraId="72C3C7C8" w14:textId="77777777" w:rsidR="00CC354D" w:rsidRPr="003A5DB2" w:rsidRDefault="00CC354D" w:rsidP="00997E2E">
      <w:r w:rsidRPr="003A5DB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C323D" w14:textId="14FB6C4A" w:rsidR="00997E2E" w:rsidRPr="003A5DB2" w:rsidRDefault="007B7E00" w:rsidP="007F0EDD">
    <w:pPr>
      <w:pStyle w:val="Encabezado"/>
      <w:ind w:right="474"/>
      <w:rPr>
        <w:rFonts w:ascii="Noto Sans" w:hAnsi="Noto Sans" w:cs="Noto Sans"/>
        <w:sz w:val="18"/>
        <w:szCs w:val="18"/>
      </w:rPr>
    </w:pPr>
    <w:bookmarkStart w:id="2" w:name="_Hlk195261366"/>
    <w:bookmarkStart w:id="3" w:name="_Hlk195261367"/>
    <w:r w:rsidRPr="003A5DB2">
      <w:rPr>
        <w:rFonts w:ascii="Noto Sans" w:hAnsi="Noto Sans" w:cs="Noto Sans"/>
        <w:sz w:val="18"/>
        <w:szCs w:val="18"/>
      </w:rPr>
      <w:t xml:space="preserve">Página </w:t>
    </w:r>
    <w:r w:rsidRPr="003A5DB2">
      <w:rPr>
        <w:rFonts w:ascii="Noto Sans" w:hAnsi="Noto Sans" w:cs="Noto Sans"/>
        <w:b/>
        <w:bCs/>
        <w:sz w:val="18"/>
        <w:szCs w:val="18"/>
      </w:rPr>
      <w:fldChar w:fldCharType="begin"/>
    </w:r>
    <w:r w:rsidRPr="003A5DB2">
      <w:rPr>
        <w:rFonts w:ascii="Noto Sans" w:hAnsi="Noto Sans" w:cs="Noto Sans"/>
        <w:b/>
        <w:bCs/>
        <w:sz w:val="18"/>
        <w:szCs w:val="18"/>
      </w:rPr>
      <w:instrText>PAGE  \* Arabic  \* MERGEFORMAT</w:instrText>
    </w:r>
    <w:r w:rsidRPr="003A5DB2">
      <w:rPr>
        <w:rFonts w:ascii="Noto Sans" w:hAnsi="Noto Sans" w:cs="Noto Sans"/>
        <w:b/>
        <w:bCs/>
        <w:sz w:val="18"/>
        <w:szCs w:val="18"/>
      </w:rPr>
      <w:fldChar w:fldCharType="separate"/>
    </w:r>
    <w:r w:rsidRPr="003A5DB2">
      <w:rPr>
        <w:rFonts w:ascii="Noto Sans" w:hAnsi="Noto Sans" w:cs="Noto Sans"/>
        <w:b/>
        <w:bCs/>
        <w:sz w:val="18"/>
        <w:szCs w:val="18"/>
      </w:rPr>
      <w:t>1</w:t>
    </w:r>
    <w:r w:rsidRPr="003A5DB2">
      <w:rPr>
        <w:rFonts w:ascii="Noto Sans" w:hAnsi="Noto Sans" w:cs="Noto Sans"/>
        <w:b/>
        <w:bCs/>
        <w:sz w:val="18"/>
        <w:szCs w:val="18"/>
      </w:rPr>
      <w:fldChar w:fldCharType="end"/>
    </w:r>
    <w:r w:rsidRPr="003A5DB2">
      <w:rPr>
        <w:rFonts w:ascii="Noto Sans" w:hAnsi="Noto Sans" w:cs="Noto Sans"/>
        <w:sz w:val="18"/>
        <w:szCs w:val="18"/>
      </w:rPr>
      <w:t xml:space="preserve"> de </w:t>
    </w:r>
    <w:r w:rsidRPr="003A5DB2">
      <w:rPr>
        <w:rFonts w:ascii="Noto Sans" w:hAnsi="Noto Sans" w:cs="Noto Sans"/>
        <w:b/>
        <w:bCs/>
        <w:sz w:val="18"/>
        <w:szCs w:val="18"/>
      </w:rPr>
      <w:fldChar w:fldCharType="begin"/>
    </w:r>
    <w:r w:rsidRPr="003A5DB2">
      <w:rPr>
        <w:rFonts w:ascii="Noto Sans" w:hAnsi="Noto Sans" w:cs="Noto Sans"/>
        <w:b/>
        <w:bCs/>
        <w:sz w:val="18"/>
        <w:szCs w:val="18"/>
      </w:rPr>
      <w:instrText>NUMPAGES  \* Arabic  \* MERGEFORMAT</w:instrText>
    </w:r>
    <w:r w:rsidRPr="003A5DB2">
      <w:rPr>
        <w:rFonts w:ascii="Noto Sans" w:hAnsi="Noto Sans" w:cs="Noto Sans"/>
        <w:b/>
        <w:bCs/>
        <w:sz w:val="18"/>
        <w:szCs w:val="18"/>
      </w:rPr>
      <w:fldChar w:fldCharType="separate"/>
    </w:r>
    <w:r w:rsidRPr="003A5DB2">
      <w:rPr>
        <w:rFonts w:ascii="Noto Sans" w:hAnsi="Noto Sans" w:cs="Noto Sans"/>
        <w:b/>
        <w:bCs/>
        <w:sz w:val="18"/>
        <w:szCs w:val="18"/>
      </w:rPr>
      <w:t>2</w:t>
    </w:r>
    <w:r w:rsidRPr="003A5DB2">
      <w:rPr>
        <w:rFonts w:ascii="Noto Sans" w:hAnsi="Noto Sans" w:cs="Noto Sans"/>
        <w:b/>
        <w:bCs/>
        <w:sz w:val="18"/>
        <w:szCs w:val="18"/>
      </w:rPr>
      <w:fldChar w:fldCharType="end"/>
    </w:r>
    <w:r w:rsidR="00997E2E" w:rsidRPr="003A5DB2">
      <w:rPr>
        <w:rFonts w:ascii="Noto Sans" w:hAnsi="Noto Sans" w:cs="Noto Sans"/>
        <w:noProof/>
        <w:sz w:val="18"/>
        <w:szCs w:val="18"/>
      </w:rPr>
      <w:drawing>
        <wp:anchor distT="0" distB="0" distL="114300" distR="114300" simplePos="0" relativeHeight="251659776" behindDoc="1" locked="0" layoutInCell="1" allowOverlap="1" wp14:anchorId="7AF39D1A" wp14:editId="5FCF7196">
          <wp:simplePos x="0" y="0"/>
          <wp:positionH relativeFrom="column">
            <wp:posOffset>-948055</wp:posOffset>
          </wp:positionH>
          <wp:positionV relativeFrom="paragraph">
            <wp:posOffset>-254635</wp:posOffset>
          </wp:positionV>
          <wp:extent cx="7838208" cy="1421437"/>
          <wp:effectExtent l="0" t="0" r="0" b="7620"/>
          <wp:wrapNone/>
          <wp:docPr id="211865806" name="Imagen 2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9478927" name="Imagen 2" descr="Patrón de fond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38208" cy="1421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E5FFF8C" w14:textId="77777777" w:rsidR="00997E2E" w:rsidRPr="003A5DB2" w:rsidRDefault="00997E2E" w:rsidP="00997E2E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</w:p>
  <w:p w14:paraId="3D3E01B5" w14:textId="06503723" w:rsidR="00997E2E" w:rsidRPr="003A5DB2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3A5DB2">
      <w:rPr>
        <w:rFonts w:ascii="Noto Sans" w:hAnsi="Noto Sans" w:cs="Noto Sans"/>
        <w:sz w:val="18"/>
        <w:szCs w:val="18"/>
      </w:rPr>
      <w:t>Unidad de Administración y Finanzas</w:t>
    </w:r>
    <w:r w:rsidRPr="003A5DB2">
      <w:rPr>
        <w:rFonts w:ascii="Noto Sans" w:hAnsi="Noto Sans" w:cs="Noto Sans"/>
        <w:sz w:val="18"/>
        <w:szCs w:val="18"/>
      </w:rPr>
      <w:tab/>
    </w:r>
  </w:p>
  <w:p w14:paraId="0ED43F25" w14:textId="253CB4DD" w:rsidR="00997E2E" w:rsidRPr="003A5DB2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3A5DB2">
      <w:rPr>
        <w:rFonts w:ascii="Noto Sans" w:hAnsi="Noto Sans" w:cs="Noto Sans"/>
        <w:sz w:val="18"/>
        <w:szCs w:val="18"/>
      </w:rPr>
      <w:t>Dirección General de Tecnologías de</w:t>
    </w:r>
    <w:r w:rsidRPr="003A5DB2">
      <w:rPr>
        <w:rFonts w:ascii="Noto Sans" w:hAnsi="Noto Sans" w:cs="Noto Sans"/>
        <w:sz w:val="18"/>
        <w:szCs w:val="18"/>
      </w:rPr>
      <w:tab/>
      <w:t xml:space="preserve"> </w:t>
    </w:r>
  </w:p>
  <w:p w14:paraId="7F871F5E" w14:textId="224A0ED0" w:rsidR="00997E2E" w:rsidRPr="003A5DB2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3A5DB2">
      <w:rPr>
        <w:rFonts w:ascii="Noto Sans" w:hAnsi="Noto Sans" w:cs="Noto Sans"/>
        <w:sz w:val="18"/>
        <w:szCs w:val="18"/>
      </w:rPr>
      <w:t>la Información y Comunicaciones</w:t>
    </w:r>
    <w:r w:rsidRPr="003A5DB2">
      <w:rPr>
        <w:rFonts w:ascii="Noto Sans" w:hAnsi="Noto Sans" w:cs="Noto Sans"/>
        <w:sz w:val="18"/>
        <w:szCs w:val="18"/>
      </w:rPr>
      <w:tab/>
    </w:r>
  </w:p>
  <w:bookmarkEnd w:id="2"/>
  <w:bookmarkEnd w:id="3"/>
  <w:p w14:paraId="7DCB4A70" w14:textId="77777777" w:rsidR="00997E2E" w:rsidRPr="003A5DB2" w:rsidRDefault="00997E2E" w:rsidP="00997E2E">
    <w:pPr>
      <w:pStyle w:val="Encabezado"/>
      <w:ind w:right="474"/>
      <w:jc w:val="right"/>
    </w:pPr>
  </w:p>
  <w:p w14:paraId="370C7DA8" w14:textId="7BBD45B3" w:rsidR="00E42075" w:rsidRPr="003A5DB2" w:rsidRDefault="00E42075" w:rsidP="00997E2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F55C9" w14:textId="77777777" w:rsidR="00CC354D" w:rsidRPr="003A5DB2" w:rsidRDefault="00CC354D" w:rsidP="00997E2E">
      <w:r w:rsidRPr="003A5DB2">
        <w:separator/>
      </w:r>
    </w:p>
  </w:footnote>
  <w:footnote w:type="continuationSeparator" w:id="0">
    <w:p w14:paraId="710F6A08" w14:textId="77777777" w:rsidR="00CC354D" w:rsidRPr="003A5DB2" w:rsidRDefault="00CC354D" w:rsidP="00997E2E">
      <w:r w:rsidRPr="003A5DB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EFA5C" w14:textId="77777777" w:rsidR="00997E2E" w:rsidRPr="003A5DB2" w:rsidRDefault="00997E2E" w:rsidP="00997E2E">
    <w:pPr>
      <w:pStyle w:val="Encabezado"/>
    </w:pPr>
    <w:r w:rsidRPr="003A5DB2">
      <w:rPr>
        <w:noProof/>
      </w:rPr>
      <w:drawing>
        <wp:anchor distT="0" distB="0" distL="114300" distR="114300" simplePos="0" relativeHeight="251657728" behindDoc="1" locked="0" layoutInCell="1" allowOverlap="1" wp14:anchorId="7FF4A81D" wp14:editId="7838572A">
          <wp:simplePos x="0" y="0"/>
          <wp:positionH relativeFrom="column">
            <wp:posOffset>-1200150</wp:posOffset>
          </wp:positionH>
          <wp:positionV relativeFrom="paragraph">
            <wp:posOffset>-457201</wp:posOffset>
          </wp:positionV>
          <wp:extent cx="8141154" cy="1476375"/>
          <wp:effectExtent l="0" t="0" r="0" b="0"/>
          <wp:wrapNone/>
          <wp:docPr id="54135313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66110" cy="1499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A7A3B8" w14:textId="751E94E5" w:rsidR="00997E2E" w:rsidRPr="003A5DB2" w:rsidRDefault="00997E2E" w:rsidP="00997E2E">
    <w:pPr>
      <w:pStyle w:val="Encabezado"/>
      <w:jc w:val="right"/>
    </w:pPr>
    <w:r w:rsidRPr="003A5DB2">
      <w:t>Unidad de Administración y Finanzas</w:t>
    </w:r>
    <w:r w:rsidRPr="003A5DB2">
      <w:tab/>
    </w:r>
  </w:p>
  <w:p w14:paraId="7E408CE7" w14:textId="31431E63" w:rsidR="00997E2E" w:rsidRPr="003A5DB2" w:rsidRDefault="00997E2E" w:rsidP="00997E2E">
    <w:pPr>
      <w:pStyle w:val="Encabezado"/>
      <w:jc w:val="right"/>
    </w:pPr>
    <w:r w:rsidRPr="003A5DB2">
      <w:t>Dirección General de Tecnologías de</w:t>
    </w:r>
    <w:r w:rsidRPr="003A5DB2">
      <w:tab/>
      <w:t xml:space="preserve"> </w:t>
    </w:r>
  </w:p>
  <w:p w14:paraId="0D6A6991" w14:textId="76F185EB" w:rsidR="00997E2E" w:rsidRPr="003A5DB2" w:rsidRDefault="00997E2E" w:rsidP="00997E2E">
    <w:pPr>
      <w:pStyle w:val="Encabezado"/>
      <w:jc w:val="right"/>
    </w:pPr>
    <w:r w:rsidRPr="003A5DB2">
      <w:t>la Información y Comunicaciones</w:t>
    </w:r>
    <w:r w:rsidRPr="003A5DB2">
      <w:tab/>
    </w:r>
  </w:p>
  <w:p w14:paraId="466085AA" w14:textId="77777777" w:rsidR="00997E2E" w:rsidRPr="003A5DB2" w:rsidRDefault="00997E2E" w:rsidP="00997E2E">
    <w:pPr>
      <w:pStyle w:val="Encabezado"/>
    </w:pPr>
  </w:p>
  <w:p w14:paraId="57844811" w14:textId="77777777" w:rsidR="00997E2E" w:rsidRPr="003A5DB2" w:rsidRDefault="00997E2E" w:rsidP="00997E2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2CA2BA5"/>
    <w:multiLevelType w:val="multilevel"/>
    <w:tmpl w:val="0DEC7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A51D2D"/>
    <w:multiLevelType w:val="multilevel"/>
    <w:tmpl w:val="F082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24D95"/>
    <w:multiLevelType w:val="hybridMultilevel"/>
    <w:tmpl w:val="0EDC77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076452"/>
    <w:multiLevelType w:val="multilevel"/>
    <w:tmpl w:val="C258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F771F"/>
    <w:multiLevelType w:val="hybridMultilevel"/>
    <w:tmpl w:val="660C78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0017D6"/>
    <w:multiLevelType w:val="multilevel"/>
    <w:tmpl w:val="2DF4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E11B9F"/>
    <w:multiLevelType w:val="multilevel"/>
    <w:tmpl w:val="B8C2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74056"/>
    <w:multiLevelType w:val="hybridMultilevel"/>
    <w:tmpl w:val="F8E884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C20551"/>
    <w:multiLevelType w:val="hybridMultilevel"/>
    <w:tmpl w:val="9EBC212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6F6A51"/>
    <w:multiLevelType w:val="multilevel"/>
    <w:tmpl w:val="E9A6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3919E7"/>
    <w:multiLevelType w:val="multilevel"/>
    <w:tmpl w:val="B5FA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BE0B03"/>
    <w:multiLevelType w:val="multilevel"/>
    <w:tmpl w:val="CF42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BD45E0"/>
    <w:multiLevelType w:val="multilevel"/>
    <w:tmpl w:val="DF9A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797777">
    <w:abstractNumId w:val="6"/>
  </w:num>
  <w:num w:numId="2" w16cid:durableId="2103646062">
    <w:abstractNumId w:val="4"/>
  </w:num>
  <w:num w:numId="3" w16cid:durableId="441605867">
    <w:abstractNumId w:val="3"/>
  </w:num>
  <w:num w:numId="4" w16cid:durableId="1048606953">
    <w:abstractNumId w:val="5"/>
  </w:num>
  <w:num w:numId="5" w16cid:durableId="658462606">
    <w:abstractNumId w:val="1"/>
  </w:num>
  <w:num w:numId="6" w16cid:durableId="1449011546">
    <w:abstractNumId w:val="0"/>
  </w:num>
  <w:num w:numId="7" w16cid:durableId="767509364">
    <w:abstractNumId w:val="14"/>
  </w:num>
  <w:num w:numId="8" w16cid:durableId="1187519976">
    <w:abstractNumId w:val="9"/>
  </w:num>
  <w:num w:numId="9" w16cid:durableId="774518276">
    <w:abstractNumId w:val="7"/>
  </w:num>
  <w:num w:numId="10" w16cid:durableId="2009867063">
    <w:abstractNumId w:val="11"/>
  </w:num>
  <w:num w:numId="11" w16cid:durableId="1924602666">
    <w:abstractNumId w:val="15"/>
  </w:num>
  <w:num w:numId="12" w16cid:durableId="2021344936">
    <w:abstractNumId w:val="2"/>
  </w:num>
  <w:num w:numId="13" w16cid:durableId="1511143114">
    <w:abstractNumId w:val="18"/>
  </w:num>
  <w:num w:numId="14" w16cid:durableId="1980106671">
    <w:abstractNumId w:val="8"/>
  </w:num>
  <w:num w:numId="15" w16cid:durableId="1819764110">
    <w:abstractNumId w:val="19"/>
  </w:num>
  <w:num w:numId="16" w16cid:durableId="1060637253">
    <w:abstractNumId w:val="13"/>
  </w:num>
  <w:num w:numId="17" w16cid:durableId="590313782">
    <w:abstractNumId w:val="10"/>
  </w:num>
  <w:num w:numId="18" w16cid:durableId="884097774">
    <w:abstractNumId w:val="16"/>
  </w:num>
  <w:num w:numId="19" w16cid:durableId="1311716930">
    <w:abstractNumId w:val="12"/>
  </w:num>
  <w:num w:numId="20" w16cid:durableId="1368070386">
    <w:abstractNumId w:val="1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62C"/>
    <w:rsid w:val="000110DF"/>
    <w:rsid w:val="000179EB"/>
    <w:rsid w:val="00034616"/>
    <w:rsid w:val="000370F9"/>
    <w:rsid w:val="00055D65"/>
    <w:rsid w:val="00057AD0"/>
    <w:rsid w:val="0006063C"/>
    <w:rsid w:val="00083F2C"/>
    <w:rsid w:val="00084C49"/>
    <w:rsid w:val="00090885"/>
    <w:rsid w:val="000C6807"/>
    <w:rsid w:val="000E2A85"/>
    <w:rsid w:val="0011731C"/>
    <w:rsid w:val="001427DC"/>
    <w:rsid w:val="0015074B"/>
    <w:rsid w:val="00157EAF"/>
    <w:rsid w:val="00176EC1"/>
    <w:rsid w:val="001A3E81"/>
    <w:rsid w:val="001C128F"/>
    <w:rsid w:val="001E4A8B"/>
    <w:rsid w:val="001F6D0E"/>
    <w:rsid w:val="00204D8B"/>
    <w:rsid w:val="0021558B"/>
    <w:rsid w:val="00217143"/>
    <w:rsid w:val="00281FC3"/>
    <w:rsid w:val="00281FCA"/>
    <w:rsid w:val="0029639D"/>
    <w:rsid w:val="002B281F"/>
    <w:rsid w:val="002C3587"/>
    <w:rsid w:val="002C5C4E"/>
    <w:rsid w:val="003067C9"/>
    <w:rsid w:val="00310D52"/>
    <w:rsid w:val="00322ECA"/>
    <w:rsid w:val="0032551C"/>
    <w:rsid w:val="00326D19"/>
    <w:rsid w:val="00326F90"/>
    <w:rsid w:val="00364FFA"/>
    <w:rsid w:val="003900CC"/>
    <w:rsid w:val="0039521E"/>
    <w:rsid w:val="003A3A97"/>
    <w:rsid w:val="003A5DB2"/>
    <w:rsid w:val="003B5DF2"/>
    <w:rsid w:val="003B7A12"/>
    <w:rsid w:val="003C7FA1"/>
    <w:rsid w:val="003F7817"/>
    <w:rsid w:val="00440931"/>
    <w:rsid w:val="0045232B"/>
    <w:rsid w:val="00460181"/>
    <w:rsid w:val="00477234"/>
    <w:rsid w:val="00490C87"/>
    <w:rsid w:val="0049360B"/>
    <w:rsid w:val="004A577B"/>
    <w:rsid w:val="004D2F30"/>
    <w:rsid w:val="004D6556"/>
    <w:rsid w:val="004F6419"/>
    <w:rsid w:val="005014CD"/>
    <w:rsid w:val="00517CFC"/>
    <w:rsid w:val="00547C5E"/>
    <w:rsid w:val="00555191"/>
    <w:rsid w:val="0057038B"/>
    <w:rsid w:val="005F77E9"/>
    <w:rsid w:val="00606958"/>
    <w:rsid w:val="00614DF1"/>
    <w:rsid w:val="00643CB0"/>
    <w:rsid w:val="0065130E"/>
    <w:rsid w:val="006608CE"/>
    <w:rsid w:val="006942DE"/>
    <w:rsid w:val="006B5472"/>
    <w:rsid w:val="007138C2"/>
    <w:rsid w:val="00714169"/>
    <w:rsid w:val="00762984"/>
    <w:rsid w:val="007B7E00"/>
    <w:rsid w:val="007C3C28"/>
    <w:rsid w:val="007C519E"/>
    <w:rsid w:val="007C6CE5"/>
    <w:rsid w:val="007D3EBE"/>
    <w:rsid w:val="007D76F8"/>
    <w:rsid w:val="007F0EDD"/>
    <w:rsid w:val="007F53AE"/>
    <w:rsid w:val="00802FD5"/>
    <w:rsid w:val="00815657"/>
    <w:rsid w:val="008170A1"/>
    <w:rsid w:val="0085498B"/>
    <w:rsid w:val="00863E93"/>
    <w:rsid w:val="008916FA"/>
    <w:rsid w:val="0090295F"/>
    <w:rsid w:val="00907CAD"/>
    <w:rsid w:val="00941C93"/>
    <w:rsid w:val="00977E0D"/>
    <w:rsid w:val="0098514F"/>
    <w:rsid w:val="009915B2"/>
    <w:rsid w:val="00997E2E"/>
    <w:rsid w:val="009A0624"/>
    <w:rsid w:val="009B4888"/>
    <w:rsid w:val="009F509F"/>
    <w:rsid w:val="00A149CB"/>
    <w:rsid w:val="00A276F6"/>
    <w:rsid w:val="00A71F18"/>
    <w:rsid w:val="00A96A40"/>
    <w:rsid w:val="00AA1D8D"/>
    <w:rsid w:val="00AC51FC"/>
    <w:rsid w:val="00AD19C4"/>
    <w:rsid w:val="00B22EB7"/>
    <w:rsid w:val="00B47730"/>
    <w:rsid w:val="00B54250"/>
    <w:rsid w:val="00B614EE"/>
    <w:rsid w:val="00B72F19"/>
    <w:rsid w:val="00B94D44"/>
    <w:rsid w:val="00BF1A0A"/>
    <w:rsid w:val="00C023B4"/>
    <w:rsid w:val="00C52C1F"/>
    <w:rsid w:val="00C5797C"/>
    <w:rsid w:val="00C663DF"/>
    <w:rsid w:val="00C72784"/>
    <w:rsid w:val="00CB0664"/>
    <w:rsid w:val="00CC354D"/>
    <w:rsid w:val="00CE3CE1"/>
    <w:rsid w:val="00CF5767"/>
    <w:rsid w:val="00D27B0B"/>
    <w:rsid w:val="00D3559E"/>
    <w:rsid w:val="00D94679"/>
    <w:rsid w:val="00DD799D"/>
    <w:rsid w:val="00E42075"/>
    <w:rsid w:val="00E60372"/>
    <w:rsid w:val="00E71416"/>
    <w:rsid w:val="00EA0966"/>
    <w:rsid w:val="00EC77A7"/>
    <w:rsid w:val="00EE6865"/>
    <w:rsid w:val="00EE6F82"/>
    <w:rsid w:val="00F51697"/>
    <w:rsid w:val="00F67D4A"/>
    <w:rsid w:val="00FC693F"/>
    <w:rsid w:val="00FD4911"/>
    <w:rsid w:val="00FE41BC"/>
    <w:rsid w:val="03B69A47"/>
    <w:rsid w:val="04C756C6"/>
    <w:rsid w:val="1121F291"/>
    <w:rsid w:val="26CC5551"/>
    <w:rsid w:val="42B1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042969"/>
  <w14:defaultImageDpi w14:val="330"/>
  <w15:docId w15:val="{B4292754-20B5-42DC-B4AF-B7BC7ABB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E2E"/>
    <w:rPr>
      <w:rFonts w:ascii="Open Sans" w:hAnsi="Open Sans"/>
      <w:color w:val="54545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76EC1"/>
    <w:pPr>
      <w:outlineLvl w:val="0"/>
    </w:pPr>
    <w:rPr>
      <w:b/>
      <w:color w:val="9F2241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7E2E"/>
    <w:pPr>
      <w:outlineLvl w:val="1"/>
    </w:pPr>
    <w:rPr>
      <w:b/>
      <w:bCs/>
      <w:color w:val="9F2241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0EDD"/>
    <w:pPr>
      <w:outlineLvl w:val="2"/>
    </w:pPr>
    <w:rPr>
      <w:b/>
      <w:bCs/>
      <w:color w:val="9F224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76EC1"/>
    <w:rPr>
      <w:rFonts w:ascii="Open Sans" w:hAnsi="Open Sans"/>
      <w:b/>
      <w:color w:val="9F2241"/>
    </w:rPr>
  </w:style>
  <w:style w:type="character" w:customStyle="1" w:styleId="Ttulo2Car">
    <w:name w:val="Título 2 Car"/>
    <w:basedOn w:val="Fuentedeprrafopredeter"/>
    <w:link w:val="Ttulo2"/>
    <w:uiPriority w:val="9"/>
    <w:rsid w:val="00997E2E"/>
    <w:rPr>
      <w:rFonts w:ascii="Open Sans" w:hAnsi="Open Sans"/>
      <w:b/>
      <w:bCs/>
      <w:color w:val="9F2241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7F0EDD"/>
    <w:rPr>
      <w:rFonts w:ascii="Open Sans" w:hAnsi="Open Sans"/>
      <w:b/>
      <w:bCs/>
      <w:color w:val="9F2241"/>
    </w:rPr>
  </w:style>
  <w:style w:type="paragraph" w:styleId="Ttulo">
    <w:name w:val="Title"/>
    <w:basedOn w:val="Encabezado"/>
    <w:next w:val="Normal"/>
    <w:link w:val="TtuloCar"/>
    <w:uiPriority w:val="10"/>
    <w:qFormat/>
    <w:rsid w:val="00217143"/>
    <w:pPr>
      <w:spacing w:before="120" w:after="300"/>
      <w:jc w:val="center"/>
    </w:pPr>
    <w:rPr>
      <w:rFonts w:ascii="Montserrat" w:hAnsi="Montserrat"/>
      <w:b/>
      <w:color w:val="9F2241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217143"/>
    <w:rPr>
      <w:rFonts w:ascii="Montserrat" w:hAnsi="Montserrat"/>
      <w:b/>
      <w:color w:val="9F2241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143"/>
    <w:pPr>
      <w:spacing w:after="240"/>
    </w:pPr>
    <w:rPr>
      <w:rFonts w:ascii="Montserrat Black" w:hAnsi="Montserrat Black"/>
      <w:color w:val="235B4E"/>
      <w:kern w:val="28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143"/>
    <w:rPr>
      <w:rFonts w:ascii="Montserrat Black" w:hAnsi="Montserrat Black"/>
      <w:color w:val="235B4E"/>
      <w:kern w:val="28"/>
      <w:sz w:val="28"/>
      <w:szCs w:val="28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aliases w:val="Tabla Microsoft Servicios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57AD0"/>
    <w:rPr>
      <w:color w:val="0000FF" w:themeColor="hyperlink"/>
      <w:u w:val="single"/>
    </w:rPr>
  </w:style>
  <w:style w:type="table" w:styleId="Tablaconcuadrcula1Claro-nfasis2">
    <w:name w:val="Grid Table 1 Light Accent 2"/>
    <w:basedOn w:val="Tablanormal"/>
    <w:uiPriority w:val="46"/>
    <w:rsid w:val="00057AD0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7B7E00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C72784"/>
    <w:pPr>
      <w:spacing w:after="0" w:line="240" w:lineRule="auto"/>
    </w:pPr>
    <w:rPr>
      <w:rFonts w:eastAsiaTheme="minorHAnsi"/>
      <w:kern w:val="2"/>
      <w:sz w:val="24"/>
      <w:szCs w:val="24"/>
      <w:lang w:val="es-MX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99"/>
    <w:rsid w:val="00EE686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99"/>
    <w:rsid w:val="00EE68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F509F"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nsolas" w:hAnsi="Consolas" w:cs="Courier New"/>
      <w:color w:val="auto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F509F"/>
    <w:rPr>
      <w:rFonts w:ascii="Consolas" w:hAnsi="Consolas" w:cs="Courier New"/>
      <w:sz w:val="20"/>
      <w:szCs w:val="20"/>
      <w:shd w:val="clear" w:color="auto" w:fill="F4F4F4"/>
      <w:lang w:val="es-MX" w:eastAsia="es-MX"/>
    </w:rPr>
  </w:style>
  <w:style w:type="paragraph" w:styleId="NormalWeb">
    <w:name w:val="Normal (Web)"/>
    <w:basedOn w:val="Normal"/>
    <w:uiPriority w:val="99"/>
    <w:semiHidden/>
    <w:unhideWhenUsed/>
    <w:rsid w:val="009F509F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9F509F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7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1477</Words>
  <Characters>8127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Lelo de Larrea Polanco</cp:lastModifiedBy>
  <cp:revision>17</cp:revision>
  <cp:lastPrinted>2026-01-20T21:57:00Z</cp:lastPrinted>
  <dcterms:created xsi:type="dcterms:W3CDTF">2026-01-19T19:50:00Z</dcterms:created>
  <dcterms:modified xsi:type="dcterms:W3CDTF">2026-06-02T01:05:00Z</dcterms:modified>
  <cp:category/>
</cp:coreProperties>
</file>