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B45AED" w:rsidRDefault="00B45AED">
      <w:pPr>
        <w:pStyle w:val="Ttulo1"/>
        <w:rPr>
          <w:rFonts w:ascii="Calibri" w:eastAsia="Times New Roman" w:hAnsi="Calibri" w:cs="Calibri"/>
        </w:rPr>
      </w:pPr>
      <w:r>
        <w:rPr>
          <w:rFonts w:ascii="Calibri" w:eastAsia="Times New Roman" w:hAnsi="Calibri" w:cs="Calibri"/>
        </w:rPr>
        <w:t>Reporte Mensual de Preparación de Datos y Anonimización para Inteligencia Artificial</w:t>
      </w:r>
    </w:p>
    <w:p w:rsidR="00B45AED" w:rsidRDefault="00B45AED">
      <w:pPr>
        <w:pStyle w:val="NormalWeb"/>
        <w:rPr>
          <w:rFonts w:ascii="Calibri" w:hAnsi="Calibri" w:cs="Calibri"/>
          <w:sz w:val="22"/>
          <w:szCs w:val="22"/>
        </w:rPr>
      </w:pPr>
      <w:r>
        <w:rPr>
          <w:rStyle w:val="Fuerte"/>
          <w:rFonts w:ascii="Calibri" w:hAnsi="Calibri" w:cs="Calibri"/>
          <w:sz w:val="22"/>
          <w:szCs w:val="22"/>
        </w:rPr>
        <w:t>Mes:</w:t>
      </w:r>
      <w:r>
        <w:rPr>
          <w:rFonts w:ascii="Calibri" w:hAnsi="Calibri" w:cs="Calibri"/>
          <w:sz w:val="22"/>
          <w:szCs w:val="22"/>
        </w:rPr>
        <w:t xml:space="preserve"> Mayo 2026 </w:t>
      </w:r>
    </w:p>
    <w:p w:rsidR="00B45AED" w:rsidRDefault="00B45AED">
      <w:pPr>
        <w:pStyle w:val="NormalWeb"/>
        <w:rPr>
          <w:rFonts w:ascii="Calibri" w:hAnsi="Calibri" w:cs="Calibri"/>
          <w:sz w:val="22"/>
          <w:szCs w:val="22"/>
        </w:rPr>
      </w:pPr>
      <w:r>
        <w:rPr>
          <w:rStyle w:val="Fuerte"/>
          <w:rFonts w:ascii="Calibri" w:hAnsi="Calibri" w:cs="Calibri"/>
          <w:sz w:val="22"/>
          <w:szCs w:val="22"/>
        </w:rPr>
        <w:t>Responsable:</w:t>
      </w:r>
      <w:r>
        <w:rPr>
          <w:rFonts w:ascii="Calibri" w:hAnsi="Calibri" w:cs="Calibri"/>
          <w:sz w:val="22"/>
          <w:szCs w:val="22"/>
        </w:rPr>
        <w:t xml:space="preserve"> Victor Manuel Lelo de Larrea Polanco </w:t>
      </w:r>
    </w:p>
    <w:p w:rsidR="00B45AED" w:rsidRDefault="00B45AED">
      <w:pPr>
        <w:pStyle w:val="NormalWeb"/>
        <w:rPr>
          <w:rFonts w:ascii="Calibri" w:hAnsi="Calibri" w:cs="Calibri"/>
          <w:sz w:val="22"/>
          <w:szCs w:val="22"/>
        </w:rPr>
      </w:pPr>
      <w:r>
        <w:rPr>
          <w:rStyle w:val="Fuerte"/>
          <w:rFonts w:ascii="Calibri" w:hAnsi="Calibri" w:cs="Calibri"/>
          <w:sz w:val="22"/>
          <w:szCs w:val="22"/>
        </w:rPr>
        <w:t>Área:</w:t>
      </w:r>
      <w:r>
        <w:rPr>
          <w:rFonts w:ascii="Calibri" w:hAnsi="Calibri" w:cs="Calibri"/>
          <w:sz w:val="22"/>
          <w:szCs w:val="22"/>
        </w:rPr>
        <w:t xml:space="preserve"> Coordinación de Proyectos de TI</w:t>
      </w:r>
    </w:p>
    <w:p w:rsidR="00B45AED" w:rsidRDefault="00B45AED">
      <w:pPr>
        <w:rPr>
          <w:rFonts w:ascii="Calibri" w:eastAsia="Times New Roman" w:hAnsi="Calibri" w:cs="Calibri"/>
          <w:sz w:val="22"/>
          <w:szCs w:val="22"/>
        </w:rPr>
      </w:pPr>
      <w:r>
        <w:rPr>
          <w:rFonts w:ascii="Calibri" w:eastAsia="Times New Roman" w:hAnsi="Calibri" w:cs="Calibri"/>
          <w:sz w:val="22"/>
          <w:szCs w:val="22"/>
        </w:rPr>
        <w:pict>
          <v:rect id="_x0000_i1025" style="width:0;height:1.5pt" o:hralign="center" o:hrstd="t" o:hr="t" fillcolor="#a0a0a0" stroked="f"/>
        </w:pict>
      </w:r>
    </w:p>
    <w:p w:rsidR="00B45AED" w:rsidRDefault="00B45AED">
      <w:pPr>
        <w:pStyle w:val="Ttulo2"/>
        <w:rPr>
          <w:rFonts w:ascii="Calibri" w:eastAsia="Times New Roman" w:hAnsi="Calibri" w:cs="Calibri"/>
        </w:rPr>
      </w:pPr>
      <w:r>
        <w:rPr>
          <w:rFonts w:ascii="Calibri" w:eastAsia="Times New Roman" w:hAnsi="Calibri" w:cs="Calibri"/>
        </w:rPr>
        <w:t>1. Objeto del Entregable</w:t>
      </w:r>
    </w:p>
    <w:p w:rsidR="00B45AED" w:rsidRDefault="00B45AED">
      <w:pPr>
        <w:pStyle w:val="NormalWeb"/>
        <w:rPr>
          <w:rFonts w:ascii="Calibri" w:hAnsi="Calibri" w:cs="Calibri"/>
          <w:sz w:val="22"/>
          <w:szCs w:val="22"/>
        </w:rPr>
      </w:pPr>
      <w:r>
        <w:rPr>
          <w:rFonts w:ascii="Calibri" w:hAnsi="Calibri" w:cs="Calibri"/>
          <w:sz w:val="22"/>
          <w:szCs w:val="22"/>
        </w:rPr>
        <w:t>Presentar el avance mensual correspondiente a mayo de 2026 sobre la curación de *datasets*, definición de conjuntos de características (*feature sets*) y criterios de anonimización. El objetivo de este documento es validar la creación de conjuntos de datos piloto aptos para el entrenamiento e inferencia de modelos analíticos (Inteligencia Artificial y *Machine Learning*) sin vulnerar las disposiciones de la Ley General de Protección de Datos Personales (LGPDPPSO).</w:t>
      </w:r>
    </w:p>
    <w:p w:rsidR="00B45AED" w:rsidRDefault="00B45AED">
      <w:pPr>
        <w:pStyle w:val="Ttulo2"/>
        <w:rPr>
          <w:rFonts w:ascii="Calibri" w:eastAsia="Times New Roman" w:hAnsi="Calibri" w:cs="Calibri"/>
        </w:rPr>
      </w:pPr>
      <w:r>
        <w:rPr>
          <w:rFonts w:ascii="Calibri" w:eastAsia="Times New Roman" w:hAnsi="Calibri" w:cs="Calibri"/>
        </w:rPr>
        <w:t>2. Alcance del Avance de Mayo</w:t>
      </w:r>
    </w:p>
    <w:p w:rsidR="00B45AED" w:rsidRDefault="00B45AED">
      <w:pPr>
        <w:pStyle w:val="NormalWeb"/>
        <w:rPr>
          <w:rFonts w:ascii="Calibri" w:hAnsi="Calibri" w:cs="Calibri"/>
          <w:sz w:val="22"/>
          <w:szCs w:val="22"/>
        </w:rPr>
      </w:pPr>
      <w:r>
        <w:rPr>
          <w:rFonts w:ascii="Calibri" w:hAnsi="Calibri" w:cs="Calibri"/>
          <w:sz w:val="22"/>
          <w:szCs w:val="22"/>
        </w:rPr>
        <w:t>A diferencia de abril, en donde se definió la superficie teórica de datos útiles para IA, durante mayo se ejecutó la extracción y curación real de datos derivados del procesamiento transaccional del orquestador Fase 2.</w:t>
      </w:r>
    </w:p>
    <w:p w:rsidR="00B45AED" w:rsidRDefault="00B45AED">
      <w:pPr>
        <w:pStyle w:val="NormalWeb"/>
        <w:rPr>
          <w:rFonts w:ascii="Calibri" w:hAnsi="Calibri" w:cs="Calibri"/>
          <w:sz w:val="22"/>
          <w:szCs w:val="22"/>
        </w:rPr>
      </w:pPr>
      <w:r>
        <w:rPr>
          <w:rFonts w:ascii="Calibri" w:hAnsi="Calibri" w:cs="Calibri"/>
          <w:sz w:val="22"/>
          <w:szCs w:val="22"/>
        </w:rPr>
        <w:t>El trabajo de mayo se focalizó en:</w:t>
      </w:r>
    </w:p>
    <w:p w:rsidR="00B45AED" w:rsidRDefault="00B45AED">
      <w:pPr>
        <w:numPr>
          <w:ilvl w:val="0"/>
          <w:numId w:val="1"/>
        </w:numPr>
        <w:spacing w:before="100" w:beforeAutospacing="1" w:after="100" w:afterAutospacing="1"/>
        <w:rPr>
          <w:rFonts w:ascii="Calibri" w:eastAsia="Times New Roman" w:hAnsi="Calibri" w:cs="Calibri"/>
          <w:sz w:val="22"/>
          <w:szCs w:val="22"/>
        </w:rPr>
      </w:pPr>
      <w:r>
        <w:rPr>
          <w:rFonts w:ascii="Calibri" w:eastAsia="Times New Roman" w:hAnsi="Calibri" w:cs="Calibri"/>
          <w:sz w:val="22"/>
          <w:szCs w:val="22"/>
        </w:rPr>
        <w:t>Implementar controles criptográficos sobre la extracción de datos debido a incidentes previos.</w:t>
      </w:r>
    </w:p>
    <w:p w:rsidR="00B45AED" w:rsidRDefault="00B45AED">
      <w:pPr>
        <w:numPr>
          <w:ilvl w:val="0"/>
          <w:numId w:val="1"/>
        </w:numPr>
        <w:spacing w:before="100" w:beforeAutospacing="1" w:after="100" w:afterAutospacing="1"/>
        <w:rPr>
          <w:rFonts w:ascii="Calibri" w:eastAsia="Times New Roman" w:hAnsi="Calibri" w:cs="Calibri"/>
          <w:sz w:val="22"/>
          <w:szCs w:val="22"/>
        </w:rPr>
      </w:pPr>
      <w:r>
        <w:rPr>
          <w:rFonts w:ascii="Calibri" w:eastAsia="Times New Roman" w:hAnsi="Calibri" w:cs="Calibri"/>
          <w:sz w:val="22"/>
          <w:szCs w:val="22"/>
        </w:rPr>
        <w:t>Sustituir identificadores directos por hashes salteados que mantengan la integridad relacional de los datos.</w:t>
      </w:r>
    </w:p>
    <w:p w:rsidR="00B45AED" w:rsidRDefault="00B45AED">
      <w:pPr>
        <w:numPr>
          <w:ilvl w:val="0"/>
          <w:numId w:val="1"/>
        </w:numPr>
        <w:spacing w:before="100" w:beforeAutospacing="1" w:after="100" w:afterAutospacing="1"/>
        <w:rPr>
          <w:rFonts w:ascii="Calibri" w:eastAsia="Times New Roman" w:hAnsi="Calibri" w:cs="Calibri"/>
          <w:sz w:val="22"/>
          <w:szCs w:val="22"/>
        </w:rPr>
      </w:pPr>
      <w:r>
        <w:rPr>
          <w:rFonts w:ascii="Calibri" w:eastAsia="Times New Roman" w:hAnsi="Calibri" w:cs="Calibri"/>
          <w:sz w:val="22"/>
          <w:szCs w:val="22"/>
        </w:rPr>
        <w:t>Construir cuatro conjuntos de datos piloto ciegos (sin PII) para modelado de comportamiento de red, rendimiento de hilos y detección de fallos del IMSS.</w:t>
      </w:r>
    </w:p>
    <w:p w:rsidR="00B45AED" w:rsidRDefault="00B45AED">
      <w:pPr>
        <w:numPr>
          <w:ilvl w:val="0"/>
          <w:numId w:val="1"/>
        </w:numPr>
        <w:spacing w:before="100" w:beforeAutospacing="1" w:after="100" w:afterAutospacing="1"/>
        <w:rPr>
          <w:rFonts w:ascii="Calibri" w:eastAsia="Times New Roman" w:hAnsi="Calibri" w:cs="Calibri"/>
          <w:sz w:val="22"/>
          <w:szCs w:val="22"/>
        </w:rPr>
      </w:pPr>
      <w:r>
        <w:rPr>
          <w:rFonts w:ascii="Calibri" w:eastAsia="Times New Roman" w:hAnsi="Calibri" w:cs="Calibri"/>
          <w:sz w:val="22"/>
          <w:szCs w:val="22"/>
        </w:rPr>
        <w:t>Validar las matrices resultantes mediante pruebas de colisión y fugas de información.</w:t>
      </w:r>
    </w:p>
    <w:p w:rsidR="00B45AED" w:rsidRDefault="00B45AED">
      <w:pPr>
        <w:pStyle w:val="Ttulo2"/>
        <w:rPr>
          <w:rFonts w:ascii="Calibri" w:eastAsia="Times New Roman" w:hAnsi="Calibri" w:cs="Calibri"/>
        </w:rPr>
      </w:pPr>
      <w:r>
        <w:rPr>
          <w:rFonts w:ascii="Calibri" w:eastAsia="Times New Roman" w:hAnsi="Calibri" w:cs="Calibri"/>
        </w:rPr>
        <w:t>3. Lecciones Operativas del Incidente de Seguridad</w:t>
      </w:r>
    </w:p>
    <w:p w:rsidR="00B45AED" w:rsidRDefault="00B45AED">
      <w:pPr>
        <w:pStyle w:val="NormalWeb"/>
        <w:rPr>
          <w:rFonts w:ascii="Calibri" w:hAnsi="Calibri" w:cs="Calibri"/>
          <w:sz w:val="22"/>
          <w:szCs w:val="22"/>
        </w:rPr>
      </w:pPr>
      <w:r>
        <w:rPr>
          <w:rFonts w:ascii="Calibri" w:hAnsi="Calibri" w:cs="Calibri"/>
          <w:sz w:val="22"/>
          <w:szCs w:val="22"/>
        </w:rPr>
        <w:t xml:space="preserve">La preparación de datos de mayo estuvo fuertemente influenciada por la mitigación inmediata del incidente de exposición de datos (reportado en la Bitácora de la Fase 2), donde el archivo </w:t>
      </w:r>
      <w:r>
        <w:rPr>
          <w:rStyle w:val="CdigoHTML"/>
        </w:rPr>
        <w:t>MENORES_SIN_PADECIMIENTO.csv</w:t>
      </w:r>
      <w:r>
        <w:rPr>
          <w:rFonts w:ascii="Calibri" w:hAnsi="Calibri" w:cs="Calibri"/>
          <w:sz w:val="22"/>
          <w:szCs w:val="22"/>
        </w:rPr>
        <w:t xml:space="preserve"> fue expuesto en el control de versiones.</w:t>
      </w:r>
    </w:p>
    <w:p w:rsidR="00B45AED" w:rsidRDefault="00B45AED">
      <w:pPr>
        <w:pStyle w:val="NormalWeb"/>
        <w:rPr>
          <w:rFonts w:ascii="Calibri" w:hAnsi="Calibri" w:cs="Calibri"/>
          <w:sz w:val="22"/>
          <w:szCs w:val="22"/>
        </w:rPr>
      </w:pPr>
      <w:r>
        <w:rPr>
          <w:rFonts w:ascii="Calibri" w:hAnsi="Calibri" w:cs="Calibri"/>
          <w:sz w:val="22"/>
          <w:szCs w:val="22"/>
        </w:rPr>
        <w:t>Al encontrarse en fase piloto de curación de datos, este evento evidenció la fragilidad del manejo de CSVs crudos cuando el destino final es la manipulación en entornos de ciencia de datos locales.</w:t>
      </w:r>
    </w:p>
    <w:p w:rsidR="00B45AED" w:rsidRDefault="00B45AED">
      <w:pPr>
        <w:pStyle w:val="Ttulo2"/>
        <w:rPr>
          <w:rFonts w:ascii="Calibri" w:eastAsia="Times New Roman" w:hAnsi="Calibri" w:cs="Calibri"/>
        </w:rPr>
      </w:pPr>
      <w:r>
        <w:rPr>
          <w:rFonts w:ascii="Calibri" w:eastAsia="Times New Roman" w:hAnsi="Calibri" w:cs="Calibri"/>
        </w:rPr>
        <w:lastRenderedPageBreak/>
        <w:t>4. Refinamiento de Criterios de Anonimización</w:t>
      </w:r>
    </w:p>
    <w:p w:rsidR="00B45AED" w:rsidRDefault="00B45AED">
      <w:pPr>
        <w:pStyle w:val="NormalWeb"/>
        <w:rPr>
          <w:rFonts w:ascii="Calibri" w:hAnsi="Calibri" w:cs="Calibri"/>
          <w:sz w:val="22"/>
          <w:szCs w:val="22"/>
        </w:rPr>
      </w:pPr>
      <w:r>
        <w:rPr>
          <w:rFonts w:ascii="Calibri" w:hAnsi="Calibri" w:cs="Calibri"/>
          <w:sz w:val="22"/>
          <w:szCs w:val="22"/>
        </w:rPr>
        <w:t xml:space="preserve">A raíz del incidente operativo, se formalizó de manera irrefutable que </w:t>
      </w:r>
      <w:r>
        <w:rPr>
          <w:rStyle w:val="Fuerte"/>
          <w:rFonts w:ascii="Calibri" w:hAnsi="Calibri" w:cs="Calibri"/>
          <w:sz w:val="22"/>
          <w:szCs w:val="22"/>
        </w:rPr>
        <w:t>ningún dataset descriptivo, predictivo o analítico puede contener texto plano de los siguientes campos</w:t>
      </w:r>
      <w:r>
        <w:rPr>
          <w:rFonts w:ascii="Calibri" w:hAnsi="Calibri" w:cs="Calibri"/>
          <w:sz w:val="22"/>
          <w:szCs w:val="22"/>
        </w:rPr>
        <w:t>:</w:t>
      </w:r>
    </w:p>
    <w:p w:rsidR="00B45AED" w:rsidRDefault="00B45AED">
      <w:pPr>
        <w:numPr>
          <w:ilvl w:val="0"/>
          <w:numId w:val="2"/>
        </w:numPr>
        <w:spacing w:before="100" w:beforeAutospacing="1" w:after="100" w:afterAutospacing="1"/>
        <w:rPr>
          <w:rFonts w:ascii="Calibri" w:eastAsia="Times New Roman" w:hAnsi="Calibri" w:cs="Calibri"/>
          <w:sz w:val="22"/>
          <w:szCs w:val="22"/>
        </w:rPr>
      </w:pPr>
      <w:r>
        <w:rPr>
          <w:rFonts w:ascii="Calibri" w:eastAsia="Times New Roman" w:hAnsi="Calibri" w:cs="Calibri"/>
          <w:sz w:val="22"/>
          <w:szCs w:val="22"/>
        </w:rPr>
        <w:t>CURP del Menor o del Tutor.</w:t>
      </w:r>
    </w:p>
    <w:p w:rsidR="00B45AED" w:rsidRDefault="00B45AED">
      <w:pPr>
        <w:numPr>
          <w:ilvl w:val="0"/>
          <w:numId w:val="2"/>
        </w:numPr>
        <w:spacing w:before="100" w:beforeAutospacing="1" w:after="100" w:afterAutospacing="1"/>
        <w:rPr>
          <w:rFonts w:ascii="Calibri" w:eastAsia="Times New Roman" w:hAnsi="Calibri" w:cs="Calibri"/>
          <w:sz w:val="22"/>
          <w:szCs w:val="22"/>
        </w:rPr>
      </w:pPr>
      <w:r>
        <w:rPr>
          <w:rFonts w:ascii="Calibri" w:eastAsia="Times New Roman" w:hAnsi="Calibri" w:cs="Calibri"/>
          <w:sz w:val="22"/>
          <w:szCs w:val="22"/>
        </w:rPr>
        <w:t>Nombres Completos o Apellidos.</w:t>
      </w:r>
    </w:p>
    <w:p w:rsidR="00B45AED" w:rsidRDefault="00B45AED">
      <w:pPr>
        <w:numPr>
          <w:ilvl w:val="0"/>
          <w:numId w:val="2"/>
        </w:numPr>
        <w:spacing w:before="100" w:beforeAutospacing="1" w:after="100" w:afterAutospacing="1"/>
        <w:rPr>
          <w:rFonts w:ascii="Calibri" w:eastAsia="Times New Roman" w:hAnsi="Calibri" w:cs="Calibri"/>
          <w:sz w:val="22"/>
          <w:szCs w:val="22"/>
        </w:rPr>
      </w:pPr>
      <w:r>
        <w:rPr>
          <w:rFonts w:ascii="Calibri" w:eastAsia="Times New Roman" w:hAnsi="Calibri" w:cs="Calibri"/>
          <w:sz w:val="22"/>
          <w:szCs w:val="22"/>
        </w:rPr>
        <w:t>Referencias telefónicas o correos electrónicos (PII Crítico).</w:t>
      </w:r>
    </w:p>
    <w:p w:rsidR="00B45AED" w:rsidRDefault="00B45AED">
      <w:pPr>
        <w:pStyle w:val="NormalWeb"/>
        <w:rPr>
          <w:rFonts w:ascii="Calibri" w:hAnsi="Calibri" w:cs="Calibri"/>
          <w:sz w:val="22"/>
          <w:szCs w:val="22"/>
        </w:rPr>
      </w:pPr>
      <w:r>
        <w:rPr>
          <w:rFonts w:ascii="Calibri" w:hAnsi="Calibri" w:cs="Calibri"/>
          <w:sz w:val="22"/>
          <w:szCs w:val="22"/>
        </w:rPr>
        <w:t>Toda la evidencia transaccional destinada al entrenamiento de Inteligencia Artificial (y a su exportación) debe ser generada pre-procesando los identificadores bajo la siguiente técnica:</w:t>
      </w:r>
    </w:p>
    <w:p w:rsidR="00B45AED" w:rsidRDefault="00B45AED">
      <w:pPr>
        <w:pStyle w:val="NormalWeb"/>
        <w:rPr>
          <w:rFonts w:ascii="Calibri" w:hAnsi="Calibri" w:cs="Calibri"/>
          <w:sz w:val="22"/>
          <w:szCs w:val="22"/>
        </w:rPr>
      </w:pPr>
      <w:r>
        <w:rPr>
          <w:rStyle w:val="CdigoHTML"/>
        </w:rPr>
        <w:t>MD5_HASH(CURP_TEXTO_PLANO || 'SALT_INSTITUCIONAL')</w:t>
      </w:r>
    </w:p>
    <w:p w:rsidR="00B45AED" w:rsidRDefault="00B45AED">
      <w:pPr>
        <w:pStyle w:val="NormalWeb"/>
        <w:rPr>
          <w:rFonts w:ascii="Calibri" w:hAnsi="Calibri" w:cs="Calibri"/>
          <w:sz w:val="22"/>
          <w:szCs w:val="22"/>
        </w:rPr>
      </w:pPr>
      <w:r>
        <w:rPr>
          <w:rFonts w:ascii="Calibri" w:hAnsi="Calibri" w:cs="Calibri"/>
          <w:sz w:val="22"/>
          <w:szCs w:val="22"/>
        </w:rPr>
        <w:t>El uso de un *Salt Institucional* previene los ataques de diccionario y *Rainbow Tables* que podrían revertir hashes comunes, manteniendo al mismo tiempo la capacidad de cruzar datos internamente al generar el mismo token criptográfico para el mismo sujeto.</w:t>
      </w:r>
    </w:p>
    <w:p w:rsidR="00B45AED" w:rsidRDefault="00B45AED">
      <w:pPr>
        <w:pStyle w:val="NormalWeb"/>
        <w:rPr>
          <w:rFonts w:ascii="Calibri" w:hAnsi="Calibri" w:cs="Calibri"/>
          <w:sz w:val="22"/>
          <w:szCs w:val="22"/>
        </w:rPr>
      </w:pPr>
      <w:r>
        <w:rPr>
          <w:rStyle w:val="Fuerte"/>
          <w:rFonts w:ascii="Calibri" w:hAnsi="Calibri" w:cs="Calibri"/>
          <w:sz w:val="22"/>
          <w:szCs w:val="22"/>
        </w:rPr>
        <w:t>Data Pipeline de Extracción Analítica:</w:t>
      </w:r>
    </w:p>
    <w:p w:rsidR="00B45AED" w:rsidRDefault="00B45AED">
      <w:pPr>
        <w:rPr>
          <w:rFonts w:ascii="Calibri" w:eastAsia="Times New Roman" w:hAnsi="Calibri" w:cs="Calibri"/>
          <w:sz w:val="22"/>
          <w:szCs w:val="22"/>
        </w:rPr>
      </w:pPr>
      <w:r>
        <w:rPr>
          <w:rFonts w:ascii="Calibri" w:eastAsia="Times New Roman" w:hAnsi="Calibri" w:cs="Calibri"/>
          <w:noProof/>
          <w:sz w:val="22"/>
          <w:szCs w:val="22"/>
        </w:rPr>
        <w:lastRenderedPageBreak/>
        <w:drawing>
          <wp:inline distT="0" distB="0" distL="0" distR="0">
            <wp:extent cx="1668780" cy="7315200"/>
            <wp:effectExtent l="0" t="0" r="7620" b="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668780" cy="7315200"/>
                    </a:xfrm>
                    <a:prstGeom prst="rect">
                      <a:avLst/>
                    </a:prstGeom>
                    <a:noFill/>
                    <a:ln>
                      <a:noFill/>
                    </a:ln>
                  </pic:spPr>
                </pic:pic>
              </a:graphicData>
            </a:graphic>
          </wp:inline>
        </w:drawing>
      </w:r>
    </w:p>
    <w:p w:rsidR="00B45AED" w:rsidRDefault="00B45AED">
      <w:pPr>
        <w:pStyle w:val="Ttulo2"/>
        <w:rPr>
          <w:rFonts w:ascii="Calibri" w:eastAsia="Times New Roman" w:hAnsi="Calibri" w:cs="Calibri"/>
        </w:rPr>
      </w:pPr>
      <w:r>
        <w:rPr>
          <w:rFonts w:ascii="Calibri" w:eastAsia="Times New Roman" w:hAnsi="Calibri" w:cs="Calibri"/>
        </w:rPr>
        <w:t>5. Preparación de Datasets Piloto para Inteligencia Artificial</w:t>
      </w:r>
    </w:p>
    <w:p w:rsidR="00B45AED" w:rsidRDefault="00B45AED">
      <w:pPr>
        <w:pStyle w:val="NormalWeb"/>
        <w:rPr>
          <w:rFonts w:ascii="Calibri" w:hAnsi="Calibri" w:cs="Calibri"/>
          <w:sz w:val="22"/>
          <w:szCs w:val="22"/>
        </w:rPr>
      </w:pPr>
      <w:r>
        <w:rPr>
          <w:rFonts w:ascii="Calibri" w:hAnsi="Calibri" w:cs="Calibri"/>
          <w:sz w:val="22"/>
          <w:szCs w:val="22"/>
        </w:rPr>
        <w:t>Durante mayo, se generaron y depuraron de manera 100% ciega (anonimizada) cuatro conjuntos de datos de prueba. Estos *datasets* extraen información transaccional de PostgreSQL (</w:t>
      </w:r>
      <w:r>
        <w:rPr>
          <w:rStyle w:val="CdigoHTML"/>
        </w:rPr>
        <w:t>Lote</w:t>
      </w:r>
      <w:r>
        <w:rPr>
          <w:rFonts w:ascii="Calibri" w:hAnsi="Calibri" w:cs="Calibri"/>
          <w:sz w:val="22"/>
          <w:szCs w:val="22"/>
        </w:rPr>
        <w:t xml:space="preserve">, </w:t>
      </w:r>
      <w:r>
        <w:rPr>
          <w:rStyle w:val="CdigoHTML"/>
        </w:rPr>
        <w:t>CurpProcesada</w:t>
      </w:r>
      <w:r>
        <w:rPr>
          <w:rFonts w:ascii="Calibri" w:hAnsi="Calibri" w:cs="Calibri"/>
          <w:sz w:val="22"/>
          <w:szCs w:val="22"/>
        </w:rPr>
        <w:t xml:space="preserve">, </w:t>
      </w:r>
      <w:r>
        <w:rPr>
          <w:rStyle w:val="CdigoHTML"/>
        </w:rPr>
        <w:t>BitacoraEvento</w:t>
      </w:r>
      <w:r>
        <w:rPr>
          <w:rFonts w:ascii="Calibri" w:hAnsi="Calibri" w:cs="Calibri"/>
          <w:sz w:val="22"/>
          <w:szCs w:val="22"/>
        </w:rPr>
        <w:t>) y están destinados a la parametrización de un modelo inicial predictivo de fallos de red y carga dinámica.</w:t>
      </w:r>
    </w:p>
    <w:p w:rsidR="00B45AED" w:rsidRDefault="00B45AED">
      <w:pPr>
        <w:pStyle w:val="Ttulo3"/>
        <w:rPr>
          <w:rFonts w:ascii="Calibri" w:eastAsia="Times New Roman" w:hAnsi="Calibri" w:cs="Calibri"/>
        </w:rPr>
      </w:pPr>
      <w:r>
        <w:rPr>
          <w:rFonts w:ascii="Calibri" w:eastAsia="Times New Roman" w:hAnsi="Calibri" w:cs="Calibri"/>
        </w:rPr>
        <w:t>5.1 Dataset Lote Piloto (</w:t>
      </w:r>
      <w:r>
        <w:rPr>
          <w:rStyle w:val="CdigoHTML"/>
        </w:rPr>
        <w:t>dataset_lote_piloto_202605.csv</w:t>
      </w:r>
      <w:r>
        <w:rPr>
          <w:rFonts w:ascii="Calibri" w:eastAsia="Times New Roman" w:hAnsi="Calibri" w:cs="Calibri"/>
        </w:rPr>
        <w:t>)</w:t>
      </w:r>
    </w:p>
    <w:p w:rsidR="00B45AED" w:rsidRDefault="00B45AED">
      <w:pPr>
        <w:pStyle w:val="NormalWeb"/>
        <w:rPr>
          <w:rFonts w:ascii="Calibri" w:hAnsi="Calibri" w:cs="Calibri"/>
          <w:sz w:val="22"/>
          <w:szCs w:val="22"/>
        </w:rPr>
      </w:pPr>
      <w:r>
        <w:rPr>
          <w:rFonts w:ascii="Calibri" w:hAnsi="Calibri" w:cs="Calibri"/>
          <w:sz w:val="22"/>
          <w:szCs w:val="22"/>
        </w:rPr>
        <w:t>Este conjunto agrega la información del comportamiento del *pool* de ejecución por cada corrida (Lote). Consiste en una muestra inicial de 15 registros altamente agregados.</w:t>
      </w:r>
    </w:p>
    <w:p w:rsidR="00B45AED" w:rsidRDefault="00B45AED">
      <w:pPr>
        <w:numPr>
          <w:ilvl w:val="0"/>
          <w:numId w:val="3"/>
        </w:numPr>
        <w:spacing w:before="100" w:beforeAutospacing="1" w:after="100" w:afterAutospacing="1"/>
        <w:rPr>
          <w:rFonts w:ascii="Calibri" w:eastAsia="Times New Roman" w:hAnsi="Calibri" w:cs="Calibri"/>
          <w:sz w:val="22"/>
          <w:szCs w:val="22"/>
        </w:rPr>
      </w:pPr>
      <w:r>
        <w:rPr>
          <w:rStyle w:val="Fuerte"/>
          <w:rFonts w:ascii="Calibri" w:eastAsia="Times New Roman" w:hAnsi="Calibri" w:cs="Calibri"/>
          <w:sz w:val="22"/>
          <w:szCs w:val="22"/>
        </w:rPr>
        <w:t>Propósito:</w:t>
      </w:r>
      <w:r>
        <w:rPr>
          <w:rFonts w:ascii="Calibri" w:eastAsia="Times New Roman" w:hAnsi="Calibri" w:cs="Calibri"/>
          <w:sz w:val="22"/>
          <w:szCs w:val="22"/>
        </w:rPr>
        <w:t xml:space="preserve"> Predecir el nivel de saturación que tendrá el API del IMSS en base a la configuración de concurrencia.</w:t>
      </w:r>
    </w:p>
    <w:p w:rsidR="00B45AED" w:rsidRDefault="00B45AED">
      <w:pPr>
        <w:numPr>
          <w:ilvl w:val="0"/>
          <w:numId w:val="3"/>
        </w:numPr>
        <w:spacing w:before="100" w:beforeAutospacing="1" w:after="100" w:afterAutospacing="1"/>
        <w:rPr>
          <w:rFonts w:ascii="Calibri" w:eastAsia="Times New Roman" w:hAnsi="Calibri" w:cs="Calibri"/>
          <w:sz w:val="22"/>
          <w:szCs w:val="22"/>
        </w:rPr>
      </w:pPr>
      <w:r>
        <w:rPr>
          <w:rStyle w:val="Fuerte"/>
          <w:rFonts w:ascii="Calibri" w:eastAsia="Times New Roman" w:hAnsi="Calibri" w:cs="Calibri"/>
          <w:sz w:val="22"/>
          <w:szCs w:val="22"/>
        </w:rPr>
        <w:t>Variables Predictivas (Features):</w:t>
      </w:r>
      <w:r>
        <w:rPr>
          <w:rFonts w:ascii="Calibri" w:eastAsia="Times New Roman" w:hAnsi="Calibri" w:cs="Calibri"/>
          <w:sz w:val="22"/>
          <w:szCs w:val="22"/>
        </w:rPr>
        <w:t xml:space="preserve"> </w:t>
      </w:r>
      <w:r>
        <w:rPr>
          <w:rStyle w:val="CdigoHTML"/>
        </w:rPr>
        <w:t>estado_origen</w:t>
      </w:r>
      <w:r>
        <w:rPr>
          <w:rFonts w:ascii="Calibri" w:eastAsia="Times New Roman" w:hAnsi="Calibri" w:cs="Calibri"/>
          <w:sz w:val="22"/>
          <w:szCs w:val="22"/>
        </w:rPr>
        <w:t xml:space="preserve">, </w:t>
      </w:r>
      <w:r>
        <w:rPr>
          <w:rStyle w:val="CdigoHTML"/>
        </w:rPr>
        <w:t>horas_del_dia</w:t>
      </w:r>
      <w:r>
        <w:rPr>
          <w:rFonts w:ascii="Calibri" w:eastAsia="Times New Roman" w:hAnsi="Calibri" w:cs="Calibri"/>
          <w:sz w:val="22"/>
          <w:szCs w:val="22"/>
        </w:rPr>
        <w:t xml:space="preserve"> (franja horaria), </w:t>
      </w:r>
      <w:r>
        <w:rPr>
          <w:rStyle w:val="CdigoHTML"/>
        </w:rPr>
        <w:t>num_workers</w:t>
      </w:r>
      <w:r>
        <w:rPr>
          <w:rFonts w:ascii="Calibri" w:eastAsia="Times New Roman" w:hAnsi="Calibri" w:cs="Calibri"/>
          <w:sz w:val="22"/>
          <w:szCs w:val="22"/>
        </w:rPr>
        <w:t xml:space="preserve"> asignados, y </w:t>
      </w:r>
      <w:r>
        <w:rPr>
          <w:rStyle w:val="CdigoHTML"/>
        </w:rPr>
        <w:t>tamanio_batch</w:t>
      </w:r>
      <w:r>
        <w:rPr>
          <w:rFonts w:ascii="Calibri" w:eastAsia="Times New Roman" w:hAnsi="Calibri" w:cs="Calibri"/>
          <w:sz w:val="22"/>
          <w:szCs w:val="22"/>
        </w:rPr>
        <w:t>.</w:t>
      </w:r>
    </w:p>
    <w:p w:rsidR="00B45AED" w:rsidRDefault="00B45AED">
      <w:pPr>
        <w:numPr>
          <w:ilvl w:val="0"/>
          <w:numId w:val="3"/>
        </w:numPr>
        <w:spacing w:before="100" w:beforeAutospacing="1" w:after="100" w:afterAutospacing="1"/>
        <w:rPr>
          <w:rFonts w:ascii="Calibri" w:eastAsia="Times New Roman" w:hAnsi="Calibri" w:cs="Calibri"/>
          <w:sz w:val="22"/>
          <w:szCs w:val="22"/>
        </w:rPr>
      </w:pPr>
      <w:r>
        <w:rPr>
          <w:rStyle w:val="Fuerte"/>
          <w:rFonts w:ascii="Calibri" w:eastAsia="Times New Roman" w:hAnsi="Calibri" w:cs="Calibri"/>
          <w:sz w:val="22"/>
          <w:szCs w:val="22"/>
        </w:rPr>
        <w:t>Variables Objetivo (Target):</w:t>
      </w:r>
      <w:r>
        <w:rPr>
          <w:rFonts w:ascii="Calibri" w:eastAsia="Times New Roman" w:hAnsi="Calibri" w:cs="Calibri"/>
          <w:sz w:val="22"/>
          <w:szCs w:val="22"/>
        </w:rPr>
        <w:t xml:space="preserve"> </w:t>
      </w:r>
      <w:r>
        <w:rPr>
          <w:rStyle w:val="CdigoHTML"/>
        </w:rPr>
        <w:t>tasa_exito_descarga</w:t>
      </w:r>
      <w:r>
        <w:rPr>
          <w:rFonts w:ascii="Calibri" w:eastAsia="Times New Roman" w:hAnsi="Calibri" w:cs="Calibri"/>
          <w:sz w:val="22"/>
          <w:szCs w:val="22"/>
        </w:rPr>
        <w:t xml:space="preserve"> y </w:t>
      </w:r>
      <w:r>
        <w:rPr>
          <w:rStyle w:val="CdigoHTML"/>
        </w:rPr>
        <w:t>ms_promedio_respuesta</w:t>
      </w:r>
      <w:r>
        <w:rPr>
          <w:rFonts w:ascii="Calibri" w:eastAsia="Times New Roman" w:hAnsi="Calibri" w:cs="Calibri"/>
          <w:sz w:val="22"/>
          <w:szCs w:val="22"/>
        </w:rPr>
        <w:t xml:space="preserve"> del proveedor.</w:t>
      </w:r>
    </w:p>
    <w:p w:rsidR="00B45AED" w:rsidRDefault="00B45AED">
      <w:pPr>
        <w:pStyle w:val="NormalWeb"/>
        <w:rPr>
          <w:rFonts w:ascii="Calibri" w:hAnsi="Calibri" w:cs="Calibri"/>
          <w:sz w:val="22"/>
          <w:szCs w:val="22"/>
        </w:rPr>
      </w:pPr>
      <w:r>
        <w:rPr>
          <w:rStyle w:val="Fuerte"/>
          <w:rFonts w:ascii="Calibri" w:hAnsi="Calibri" w:cs="Calibri"/>
          <w:sz w:val="22"/>
          <w:szCs w:val="22"/>
        </w:rPr>
        <w:t>Ejemplo de Estructura de Datos (Mock):</w:t>
      </w:r>
    </w:p>
    <w:tbl>
      <w:tblPr>
        <w:tblW w:w="5000" w:type="pct"/>
        <w:tblCellMar>
          <w:top w:w="15" w:type="dxa"/>
          <w:left w:w="15" w:type="dxa"/>
          <w:bottom w:w="15" w:type="dxa"/>
          <w:right w:w="15" w:type="dxa"/>
        </w:tblCellMar>
        <w:tblLook w:val="04A0" w:firstRow="1" w:lastRow="0" w:firstColumn="1" w:lastColumn="0" w:noHBand="0" w:noVBand="1"/>
      </w:tblPr>
      <w:tblGrid>
        <w:gridCol w:w="821"/>
        <w:gridCol w:w="1493"/>
        <w:gridCol w:w="1493"/>
        <w:gridCol w:w="1448"/>
        <w:gridCol w:w="1566"/>
        <w:gridCol w:w="2050"/>
        <w:gridCol w:w="1451"/>
      </w:tblGrid>
      <w:tr w:rsidR="00000000">
        <w:trPr>
          <w:tblHeader/>
        </w:trPr>
        <w:tc>
          <w:tcPr>
            <w:tcW w:w="0" w:type="auto"/>
            <w:tcBorders>
              <w:top w:val="single" w:sz="6" w:space="0" w:color="666666"/>
              <w:left w:val="single" w:sz="6" w:space="0" w:color="666666"/>
              <w:bottom w:val="single" w:sz="6" w:space="0" w:color="666666"/>
              <w:right w:val="single" w:sz="6" w:space="0" w:color="666666"/>
            </w:tcBorders>
            <w:tcMar>
              <w:top w:w="90" w:type="dxa"/>
              <w:left w:w="90" w:type="dxa"/>
              <w:bottom w:w="90" w:type="dxa"/>
              <w:right w:w="90" w:type="dxa"/>
            </w:tcMar>
            <w:hideMark/>
          </w:tcPr>
          <w:p w:rsidR="00B45AED" w:rsidRDefault="00B45AED">
            <w:pPr>
              <w:spacing w:before="180" w:after="180"/>
              <w:rPr>
                <w:rFonts w:ascii="Calibri" w:eastAsia="Times New Roman" w:hAnsi="Calibri" w:cs="Calibri"/>
                <w:b/>
                <w:bCs/>
                <w:sz w:val="22"/>
                <w:szCs w:val="22"/>
              </w:rPr>
            </w:pPr>
            <w:r>
              <w:rPr>
                <w:rFonts w:ascii="Calibri" w:eastAsia="Times New Roman" w:hAnsi="Calibri" w:cs="Calibri"/>
                <w:b/>
                <w:bCs/>
                <w:sz w:val="22"/>
                <w:szCs w:val="22"/>
              </w:rPr>
              <w:t>id_lote</w:t>
            </w:r>
          </w:p>
        </w:tc>
        <w:tc>
          <w:tcPr>
            <w:tcW w:w="0" w:type="auto"/>
            <w:tcBorders>
              <w:top w:val="single" w:sz="6" w:space="0" w:color="666666"/>
              <w:left w:val="single" w:sz="6" w:space="0" w:color="666666"/>
              <w:bottom w:val="single" w:sz="6" w:space="0" w:color="666666"/>
              <w:right w:val="single" w:sz="6" w:space="0" w:color="666666"/>
            </w:tcBorders>
            <w:tcMar>
              <w:top w:w="90" w:type="dxa"/>
              <w:left w:w="90" w:type="dxa"/>
              <w:bottom w:w="90" w:type="dxa"/>
              <w:right w:w="90" w:type="dxa"/>
            </w:tcMar>
            <w:hideMark/>
          </w:tcPr>
          <w:p w:rsidR="00B45AED" w:rsidRDefault="00B45AED">
            <w:pPr>
              <w:spacing w:before="180" w:after="180"/>
              <w:rPr>
                <w:rFonts w:ascii="Calibri" w:eastAsia="Times New Roman" w:hAnsi="Calibri" w:cs="Calibri"/>
                <w:b/>
                <w:bCs/>
                <w:sz w:val="22"/>
                <w:szCs w:val="22"/>
              </w:rPr>
            </w:pPr>
            <w:r>
              <w:rPr>
                <w:rFonts w:ascii="Calibri" w:eastAsia="Times New Roman" w:hAnsi="Calibri" w:cs="Calibri"/>
                <w:b/>
                <w:bCs/>
                <w:sz w:val="22"/>
                <w:szCs w:val="22"/>
              </w:rPr>
              <w:t>estado_origen</w:t>
            </w:r>
          </w:p>
        </w:tc>
        <w:tc>
          <w:tcPr>
            <w:tcW w:w="0" w:type="auto"/>
            <w:tcBorders>
              <w:top w:val="single" w:sz="6" w:space="0" w:color="666666"/>
              <w:left w:val="single" w:sz="6" w:space="0" w:color="666666"/>
              <w:bottom w:val="single" w:sz="6" w:space="0" w:color="666666"/>
              <w:right w:val="single" w:sz="6" w:space="0" w:color="666666"/>
            </w:tcBorders>
            <w:tcMar>
              <w:top w:w="90" w:type="dxa"/>
              <w:left w:w="90" w:type="dxa"/>
              <w:bottom w:w="90" w:type="dxa"/>
              <w:right w:w="90" w:type="dxa"/>
            </w:tcMar>
            <w:hideMark/>
          </w:tcPr>
          <w:p w:rsidR="00B45AED" w:rsidRDefault="00B45AED">
            <w:pPr>
              <w:spacing w:before="180" w:after="180"/>
              <w:rPr>
                <w:rFonts w:ascii="Calibri" w:eastAsia="Times New Roman" w:hAnsi="Calibri" w:cs="Calibri"/>
                <w:b/>
                <w:bCs/>
                <w:sz w:val="22"/>
                <w:szCs w:val="22"/>
              </w:rPr>
            </w:pPr>
            <w:r>
              <w:rPr>
                <w:rFonts w:ascii="Calibri" w:eastAsia="Times New Roman" w:hAnsi="Calibri" w:cs="Calibri"/>
                <w:b/>
                <w:bCs/>
                <w:sz w:val="22"/>
                <w:szCs w:val="22"/>
              </w:rPr>
              <w:t>franja_horaria</w:t>
            </w:r>
          </w:p>
        </w:tc>
        <w:tc>
          <w:tcPr>
            <w:tcW w:w="0" w:type="auto"/>
            <w:tcBorders>
              <w:top w:val="single" w:sz="6" w:space="0" w:color="666666"/>
              <w:left w:val="single" w:sz="6" w:space="0" w:color="666666"/>
              <w:bottom w:val="single" w:sz="6" w:space="0" w:color="666666"/>
              <w:right w:val="single" w:sz="6" w:space="0" w:color="666666"/>
            </w:tcBorders>
            <w:tcMar>
              <w:top w:w="90" w:type="dxa"/>
              <w:left w:w="90" w:type="dxa"/>
              <w:bottom w:w="90" w:type="dxa"/>
              <w:right w:w="90" w:type="dxa"/>
            </w:tcMar>
            <w:hideMark/>
          </w:tcPr>
          <w:p w:rsidR="00B45AED" w:rsidRDefault="00B45AED">
            <w:pPr>
              <w:spacing w:before="180" w:after="180"/>
              <w:rPr>
                <w:rFonts w:ascii="Calibri" w:eastAsia="Times New Roman" w:hAnsi="Calibri" w:cs="Calibri"/>
                <w:b/>
                <w:bCs/>
                <w:sz w:val="22"/>
                <w:szCs w:val="22"/>
              </w:rPr>
            </w:pPr>
            <w:r>
              <w:rPr>
                <w:rFonts w:ascii="Calibri" w:eastAsia="Times New Roman" w:hAnsi="Calibri" w:cs="Calibri"/>
                <w:b/>
                <w:bCs/>
                <w:sz w:val="22"/>
                <w:szCs w:val="22"/>
              </w:rPr>
              <w:t>num_workers</w:t>
            </w:r>
          </w:p>
        </w:tc>
        <w:tc>
          <w:tcPr>
            <w:tcW w:w="0" w:type="auto"/>
            <w:tcBorders>
              <w:top w:val="single" w:sz="6" w:space="0" w:color="666666"/>
              <w:left w:val="single" w:sz="6" w:space="0" w:color="666666"/>
              <w:bottom w:val="single" w:sz="6" w:space="0" w:color="666666"/>
              <w:right w:val="single" w:sz="6" w:space="0" w:color="666666"/>
            </w:tcBorders>
            <w:tcMar>
              <w:top w:w="90" w:type="dxa"/>
              <w:left w:w="90" w:type="dxa"/>
              <w:bottom w:w="90" w:type="dxa"/>
              <w:right w:w="90" w:type="dxa"/>
            </w:tcMar>
            <w:hideMark/>
          </w:tcPr>
          <w:p w:rsidR="00B45AED" w:rsidRDefault="00B45AED">
            <w:pPr>
              <w:spacing w:before="180" w:after="180"/>
              <w:rPr>
                <w:rFonts w:ascii="Calibri" w:eastAsia="Times New Roman" w:hAnsi="Calibri" w:cs="Calibri"/>
                <w:b/>
                <w:bCs/>
                <w:sz w:val="22"/>
                <w:szCs w:val="22"/>
              </w:rPr>
            </w:pPr>
            <w:r>
              <w:rPr>
                <w:rFonts w:ascii="Calibri" w:eastAsia="Times New Roman" w:hAnsi="Calibri" w:cs="Calibri"/>
                <w:b/>
                <w:bCs/>
                <w:sz w:val="22"/>
                <w:szCs w:val="22"/>
              </w:rPr>
              <w:t>tamanio_batch</w:t>
            </w:r>
          </w:p>
        </w:tc>
        <w:tc>
          <w:tcPr>
            <w:tcW w:w="0" w:type="auto"/>
            <w:tcBorders>
              <w:top w:val="single" w:sz="6" w:space="0" w:color="666666"/>
              <w:left w:val="single" w:sz="6" w:space="0" w:color="666666"/>
              <w:bottom w:val="single" w:sz="6" w:space="0" w:color="666666"/>
              <w:right w:val="single" w:sz="6" w:space="0" w:color="666666"/>
            </w:tcBorders>
            <w:tcMar>
              <w:top w:w="90" w:type="dxa"/>
              <w:left w:w="90" w:type="dxa"/>
              <w:bottom w:w="90" w:type="dxa"/>
              <w:right w:w="90" w:type="dxa"/>
            </w:tcMar>
            <w:hideMark/>
          </w:tcPr>
          <w:p w:rsidR="00B45AED" w:rsidRDefault="00B45AED">
            <w:pPr>
              <w:spacing w:before="180" w:after="180"/>
              <w:rPr>
                <w:rFonts w:ascii="Calibri" w:eastAsia="Times New Roman" w:hAnsi="Calibri" w:cs="Calibri"/>
                <w:b/>
                <w:bCs/>
                <w:sz w:val="22"/>
                <w:szCs w:val="22"/>
              </w:rPr>
            </w:pPr>
            <w:r>
              <w:rPr>
                <w:rFonts w:ascii="Calibri" w:eastAsia="Times New Roman" w:hAnsi="Calibri" w:cs="Calibri"/>
                <w:b/>
                <w:bCs/>
                <w:sz w:val="22"/>
                <w:szCs w:val="22"/>
              </w:rPr>
              <w:t>tasa_exito_descarga</w:t>
            </w:r>
          </w:p>
        </w:tc>
        <w:tc>
          <w:tcPr>
            <w:tcW w:w="0" w:type="auto"/>
            <w:tcBorders>
              <w:top w:val="single" w:sz="6" w:space="0" w:color="666666"/>
              <w:left w:val="single" w:sz="6" w:space="0" w:color="666666"/>
              <w:bottom w:val="single" w:sz="6" w:space="0" w:color="666666"/>
              <w:right w:val="single" w:sz="6" w:space="0" w:color="666666"/>
            </w:tcBorders>
            <w:tcMar>
              <w:top w:w="90" w:type="dxa"/>
              <w:left w:w="90" w:type="dxa"/>
              <w:bottom w:w="90" w:type="dxa"/>
              <w:right w:w="90" w:type="dxa"/>
            </w:tcMar>
            <w:hideMark/>
          </w:tcPr>
          <w:p w:rsidR="00B45AED" w:rsidRDefault="00B45AED">
            <w:pPr>
              <w:spacing w:before="180" w:after="180"/>
              <w:rPr>
                <w:rFonts w:ascii="Calibri" w:eastAsia="Times New Roman" w:hAnsi="Calibri" w:cs="Calibri"/>
                <w:b/>
                <w:bCs/>
                <w:sz w:val="22"/>
                <w:szCs w:val="22"/>
              </w:rPr>
            </w:pPr>
            <w:r>
              <w:rPr>
                <w:rFonts w:ascii="Calibri" w:eastAsia="Times New Roman" w:hAnsi="Calibri" w:cs="Calibri"/>
                <w:b/>
                <w:bCs/>
                <w:sz w:val="22"/>
                <w:szCs w:val="22"/>
              </w:rPr>
              <w:t>ms_promedio</w:t>
            </w:r>
          </w:p>
        </w:tc>
      </w:tr>
      <w:tr w:rsidR="00000000">
        <w:tc>
          <w:tcPr>
            <w:tcW w:w="0" w:type="auto"/>
            <w:tcBorders>
              <w:top w:val="single" w:sz="6" w:space="0" w:color="666666"/>
              <w:left w:val="single" w:sz="6" w:space="0" w:color="666666"/>
              <w:bottom w:val="single" w:sz="6" w:space="0" w:color="666666"/>
              <w:right w:val="single" w:sz="6" w:space="0" w:color="666666"/>
            </w:tcBorders>
            <w:tcMar>
              <w:top w:w="90" w:type="dxa"/>
              <w:left w:w="90" w:type="dxa"/>
              <w:bottom w:w="90" w:type="dxa"/>
              <w:right w:w="90" w:type="dxa"/>
            </w:tcMar>
            <w:hideMark/>
          </w:tcPr>
          <w:p w:rsidR="00B45AED" w:rsidRDefault="00B45AED">
            <w:pPr>
              <w:spacing w:before="180" w:after="180"/>
              <w:rPr>
                <w:rFonts w:ascii="Calibri" w:eastAsia="Times New Roman" w:hAnsi="Calibri" w:cs="Calibri"/>
                <w:sz w:val="22"/>
                <w:szCs w:val="22"/>
              </w:rPr>
            </w:pPr>
            <w:r>
              <w:rPr>
                <w:rFonts w:ascii="Calibri" w:eastAsia="Times New Roman" w:hAnsi="Calibri" w:cs="Calibri"/>
                <w:sz w:val="22"/>
                <w:szCs w:val="22"/>
              </w:rPr>
              <w:t>1001</w:t>
            </w:r>
          </w:p>
        </w:tc>
        <w:tc>
          <w:tcPr>
            <w:tcW w:w="0" w:type="auto"/>
            <w:tcBorders>
              <w:top w:val="single" w:sz="6" w:space="0" w:color="666666"/>
              <w:left w:val="single" w:sz="6" w:space="0" w:color="666666"/>
              <w:bottom w:val="single" w:sz="6" w:space="0" w:color="666666"/>
              <w:right w:val="single" w:sz="6" w:space="0" w:color="666666"/>
            </w:tcBorders>
            <w:tcMar>
              <w:top w:w="90" w:type="dxa"/>
              <w:left w:w="90" w:type="dxa"/>
              <w:bottom w:w="90" w:type="dxa"/>
              <w:right w:w="90" w:type="dxa"/>
            </w:tcMar>
            <w:hideMark/>
          </w:tcPr>
          <w:p w:rsidR="00B45AED" w:rsidRDefault="00B45AED">
            <w:pPr>
              <w:spacing w:before="180" w:after="180"/>
              <w:rPr>
                <w:rFonts w:ascii="Calibri" w:eastAsia="Times New Roman" w:hAnsi="Calibri" w:cs="Calibri"/>
                <w:sz w:val="22"/>
                <w:szCs w:val="22"/>
              </w:rPr>
            </w:pPr>
            <w:r>
              <w:rPr>
                <w:rFonts w:ascii="Calibri" w:eastAsia="Times New Roman" w:hAnsi="Calibri" w:cs="Calibri"/>
                <w:sz w:val="22"/>
                <w:szCs w:val="22"/>
              </w:rPr>
              <w:t>21 (Puebla)</w:t>
            </w:r>
          </w:p>
        </w:tc>
        <w:tc>
          <w:tcPr>
            <w:tcW w:w="0" w:type="auto"/>
            <w:tcBorders>
              <w:top w:val="single" w:sz="6" w:space="0" w:color="666666"/>
              <w:left w:val="single" w:sz="6" w:space="0" w:color="666666"/>
              <w:bottom w:val="single" w:sz="6" w:space="0" w:color="666666"/>
              <w:right w:val="single" w:sz="6" w:space="0" w:color="666666"/>
            </w:tcBorders>
            <w:tcMar>
              <w:top w:w="90" w:type="dxa"/>
              <w:left w:w="90" w:type="dxa"/>
              <w:bottom w:w="90" w:type="dxa"/>
              <w:right w:w="90" w:type="dxa"/>
            </w:tcMar>
            <w:hideMark/>
          </w:tcPr>
          <w:p w:rsidR="00B45AED" w:rsidRDefault="00B45AED">
            <w:pPr>
              <w:spacing w:before="180" w:after="180"/>
              <w:rPr>
                <w:rFonts w:ascii="Calibri" w:eastAsia="Times New Roman" w:hAnsi="Calibri" w:cs="Calibri"/>
                <w:sz w:val="22"/>
                <w:szCs w:val="22"/>
              </w:rPr>
            </w:pPr>
            <w:r>
              <w:rPr>
                <w:rFonts w:ascii="Calibri" w:eastAsia="Times New Roman" w:hAnsi="Calibri" w:cs="Calibri"/>
                <w:sz w:val="22"/>
                <w:szCs w:val="22"/>
              </w:rPr>
              <w:t>08:00 - 12:00</w:t>
            </w:r>
          </w:p>
        </w:tc>
        <w:tc>
          <w:tcPr>
            <w:tcW w:w="0" w:type="auto"/>
            <w:tcBorders>
              <w:top w:val="single" w:sz="6" w:space="0" w:color="666666"/>
              <w:left w:val="single" w:sz="6" w:space="0" w:color="666666"/>
              <w:bottom w:val="single" w:sz="6" w:space="0" w:color="666666"/>
              <w:right w:val="single" w:sz="6" w:space="0" w:color="666666"/>
            </w:tcBorders>
            <w:tcMar>
              <w:top w:w="90" w:type="dxa"/>
              <w:left w:w="90" w:type="dxa"/>
              <w:bottom w:w="90" w:type="dxa"/>
              <w:right w:w="90" w:type="dxa"/>
            </w:tcMar>
            <w:hideMark/>
          </w:tcPr>
          <w:p w:rsidR="00B45AED" w:rsidRDefault="00B45AED">
            <w:pPr>
              <w:spacing w:before="180" w:after="180"/>
              <w:rPr>
                <w:rFonts w:ascii="Calibri" w:eastAsia="Times New Roman" w:hAnsi="Calibri" w:cs="Calibri"/>
                <w:sz w:val="22"/>
                <w:szCs w:val="22"/>
              </w:rPr>
            </w:pPr>
            <w:r>
              <w:rPr>
                <w:rFonts w:ascii="Calibri" w:eastAsia="Times New Roman" w:hAnsi="Calibri" w:cs="Calibri"/>
                <w:sz w:val="22"/>
                <w:szCs w:val="22"/>
              </w:rPr>
              <w:t>20</w:t>
            </w:r>
          </w:p>
        </w:tc>
        <w:tc>
          <w:tcPr>
            <w:tcW w:w="0" w:type="auto"/>
            <w:tcBorders>
              <w:top w:val="single" w:sz="6" w:space="0" w:color="666666"/>
              <w:left w:val="single" w:sz="6" w:space="0" w:color="666666"/>
              <w:bottom w:val="single" w:sz="6" w:space="0" w:color="666666"/>
              <w:right w:val="single" w:sz="6" w:space="0" w:color="666666"/>
            </w:tcBorders>
            <w:tcMar>
              <w:top w:w="90" w:type="dxa"/>
              <w:left w:w="90" w:type="dxa"/>
              <w:bottom w:w="90" w:type="dxa"/>
              <w:right w:w="90" w:type="dxa"/>
            </w:tcMar>
            <w:hideMark/>
          </w:tcPr>
          <w:p w:rsidR="00B45AED" w:rsidRDefault="00B45AED">
            <w:pPr>
              <w:spacing w:before="180" w:after="180"/>
              <w:rPr>
                <w:rFonts w:ascii="Calibri" w:eastAsia="Times New Roman" w:hAnsi="Calibri" w:cs="Calibri"/>
                <w:sz w:val="22"/>
                <w:szCs w:val="22"/>
              </w:rPr>
            </w:pPr>
            <w:r>
              <w:rPr>
                <w:rFonts w:ascii="Calibri" w:eastAsia="Times New Roman" w:hAnsi="Calibri" w:cs="Calibri"/>
                <w:sz w:val="22"/>
                <w:szCs w:val="22"/>
              </w:rPr>
              <w:t>5000</w:t>
            </w:r>
          </w:p>
        </w:tc>
        <w:tc>
          <w:tcPr>
            <w:tcW w:w="0" w:type="auto"/>
            <w:tcBorders>
              <w:top w:val="single" w:sz="6" w:space="0" w:color="666666"/>
              <w:left w:val="single" w:sz="6" w:space="0" w:color="666666"/>
              <w:bottom w:val="single" w:sz="6" w:space="0" w:color="666666"/>
              <w:right w:val="single" w:sz="6" w:space="0" w:color="666666"/>
            </w:tcBorders>
            <w:tcMar>
              <w:top w:w="90" w:type="dxa"/>
              <w:left w:w="90" w:type="dxa"/>
              <w:bottom w:w="90" w:type="dxa"/>
              <w:right w:w="90" w:type="dxa"/>
            </w:tcMar>
            <w:hideMark/>
          </w:tcPr>
          <w:p w:rsidR="00B45AED" w:rsidRDefault="00B45AED">
            <w:pPr>
              <w:spacing w:before="180" w:after="180"/>
              <w:rPr>
                <w:rFonts w:ascii="Calibri" w:eastAsia="Times New Roman" w:hAnsi="Calibri" w:cs="Calibri"/>
                <w:sz w:val="22"/>
                <w:szCs w:val="22"/>
              </w:rPr>
            </w:pPr>
            <w:r>
              <w:rPr>
                <w:rFonts w:ascii="Calibri" w:eastAsia="Times New Roman" w:hAnsi="Calibri" w:cs="Calibri"/>
                <w:sz w:val="22"/>
                <w:szCs w:val="22"/>
              </w:rPr>
              <w:t>0.82</w:t>
            </w:r>
          </w:p>
        </w:tc>
        <w:tc>
          <w:tcPr>
            <w:tcW w:w="0" w:type="auto"/>
            <w:tcBorders>
              <w:top w:val="single" w:sz="6" w:space="0" w:color="666666"/>
              <w:left w:val="single" w:sz="6" w:space="0" w:color="666666"/>
              <w:bottom w:val="single" w:sz="6" w:space="0" w:color="666666"/>
              <w:right w:val="single" w:sz="6" w:space="0" w:color="666666"/>
            </w:tcBorders>
            <w:tcMar>
              <w:top w:w="90" w:type="dxa"/>
              <w:left w:w="90" w:type="dxa"/>
              <w:bottom w:w="90" w:type="dxa"/>
              <w:right w:w="90" w:type="dxa"/>
            </w:tcMar>
            <w:hideMark/>
          </w:tcPr>
          <w:p w:rsidR="00B45AED" w:rsidRDefault="00B45AED">
            <w:pPr>
              <w:spacing w:before="180" w:after="180"/>
              <w:rPr>
                <w:rFonts w:ascii="Calibri" w:eastAsia="Times New Roman" w:hAnsi="Calibri" w:cs="Calibri"/>
                <w:sz w:val="22"/>
                <w:szCs w:val="22"/>
              </w:rPr>
            </w:pPr>
            <w:r>
              <w:rPr>
                <w:rFonts w:ascii="Calibri" w:eastAsia="Times New Roman" w:hAnsi="Calibri" w:cs="Calibri"/>
                <w:sz w:val="22"/>
                <w:szCs w:val="22"/>
              </w:rPr>
              <w:t>2450</w:t>
            </w:r>
          </w:p>
        </w:tc>
      </w:tr>
      <w:tr w:rsidR="00000000">
        <w:tc>
          <w:tcPr>
            <w:tcW w:w="0" w:type="auto"/>
            <w:tcBorders>
              <w:top w:val="single" w:sz="6" w:space="0" w:color="666666"/>
              <w:left w:val="single" w:sz="6" w:space="0" w:color="666666"/>
              <w:bottom w:val="single" w:sz="6" w:space="0" w:color="666666"/>
              <w:right w:val="single" w:sz="6" w:space="0" w:color="666666"/>
            </w:tcBorders>
            <w:tcMar>
              <w:top w:w="90" w:type="dxa"/>
              <w:left w:w="90" w:type="dxa"/>
              <w:bottom w:w="90" w:type="dxa"/>
              <w:right w:w="90" w:type="dxa"/>
            </w:tcMar>
            <w:hideMark/>
          </w:tcPr>
          <w:p w:rsidR="00B45AED" w:rsidRDefault="00B45AED">
            <w:pPr>
              <w:spacing w:before="180" w:after="180"/>
              <w:rPr>
                <w:rFonts w:ascii="Calibri" w:eastAsia="Times New Roman" w:hAnsi="Calibri" w:cs="Calibri"/>
                <w:sz w:val="22"/>
                <w:szCs w:val="22"/>
              </w:rPr>
            </w:pPr>
            <w:r>
              <w:rPr>
                <w:rFonts w:ascii="Calibri" w:eastAsia="Times New Roman" w:hAnsi="Calibri" w:cs="Calibri"/>
                <w:sz w:val="22"/>
                <w:szCs w:val="22"/>
              </w:rPr>
              <w:t>1002</w:t>
            </w:r>
          </w:p>
        </w:tc>
        <w:tc>
          <w:tcPr>
            <w:tcW w:w="0" w:type="auto"/>
            <w:tcBorders>
              <w:top w:val="single" w:sz="6" w:space="0" w:color="666666"/>
              <w:left w:val="single" w:sz="6" w:space="0" w:color="666666"/>
              <w:bottom w:val="single" w:sz="6" w:space="0" w:color="666666"/>
              <w:right w:val="single" w:sz="6" w:space="0" w:color="666666"/>
            </w:tcBorders>
            <w:tcMar>
              <w:top w:w="90" w:type="dxa"/>
              <w:left w:w="90" w:type="dxa"/>
              <w:bottom w:w="90" w:type="dxa"/>
              <w:right w:w="90" w:type="dxa"/>
            </w:tcMar>
            <w:hideMark/>
          </w:tcPr>
          <w:p w:rsidR="00B45AED" w:rsidRDefault="00B45AED">
            <w:pPr>
              <w:spacing w:before="180" w:after="180"/>
              <w:rPr>
                <w:rFonts w:ascii="Calibri" w:eastAsia="Times New Roman" w:hAnsi="Calibri" w:cs="Calibri"/>
                <w:sz w:val="22"/>
                <w:szCs w:val="22"/>
              </w:rPr>
            </w:pPr>
            <w:r>
              <w:rPr>
                <w:rFonts w:ascii="Calibri" w:eastAsia="Times New Roman" w:hAnsi="Calibri" w:cs="Calibri"/>
                <w:sz w:val="22"/>
                <w:szCs w:val="22"/>
              </w:rPr>
              <w:t>30 (Veracruz)</w:t>
            </w:r>
          </w:p>
        </w:tc>
        <w:tc>
          <w:tcPr>
            <w:tcW w:w="0" w:type="auto"/>
            <w:tcBorders>
              <w:top w:val="single" w:sz="6" w:space="0" w:color="666666"/>
              <w:left w:val="single" w:sz="6" w:space="0" w:color="666666"/>
              <w:bottom w:val="single" w:sz="6" w:space="0" w:color="666666"/>
              <w:right w:val="single" w:sz="6" w:space="0" w:color="666666"/>
            </w:tcBorders>
            <w:tcMar>
              <w:top w:w="90" w:type="dxa"/>
              <w:left w:w="90" w:type="dxa"/>
              <w:bottom w:w="90" w:type="dxa"/>
              <w:right w:w="90" w:type="dxa"/>
            </w:tcMar>
            <w:hideMark/>
          </w:tcPr>
          <w:p w:rsidR="00B45AED" w:rsidRDefault="00B45AED">
            <w:pPr>
              <w:spacing w:before="180" w:after="180"/>
              <w:rPr>
                <w:rFonts w:ascii="Calibri" w:eastAsia="Times New Roman" w:hAnsi="Calibri" w:cs="Calibri"/>
                <w:sz w:val="22"/>
                <w:szCs w:val="22"/>
              </w:rPr>
            </w:pPr>
            <w:r>
              <w:rPr>
                <w:rFonts w:ascii="Calibri" w:eastAsia="Times New Roman" w:hAnsi="Calibri" w:cs="Calibri"/>
                <w:sz w:val="22"/>
                <w:szCs w:val="22"/>
              </w:rPr>
              <w:t>12:00 - 16:00</w:t>
            </w:r>
          </w:p>
        </w:tc>
        <w:tc>
          <w:tcPr>
            <w:tcW w:w="0" w:type="auto"/>
            <w:tcBorders>
              <w:top w:val="single" w:sz="6" w:space="0" w:color="666666"/>
              <w:left w:val="single" w:sz="6" w:space="0" w:color="666666"/>
              <w:bottom w:val="single" w:sz="6" w:space="0" w:color="666666"/>
              <w:right w:val="single" w:sz="6" w:space="0" w:color="666666"/>
            </w:tcBorders>
            <w:tcMar>
              <w:top w:w="90" w:type="dxa"/>
              <w:left w:w="90" w:type="dxa"/>
              <w:bottom w:w="90" w:type="dxa"/>
              <w:right w:w="90" w:type="dxa"/>
            </w:tcMar>
            <w:hideMark/>
          </w:tcPr>
          <w:p w:rsidR="00B45AED" w:rsidRDefault="00B45AED">
            <w:pPr>
              <w:spacing w:before="180" w:after="180"/>
              <w:rPr>
                <w:rFonts w:ascii="Calibri" w:eastAsia="Times New Roman" w:hAnsi="Calibri" w:cs="Calibri"/>
                <w:sz w:val="22"/>
                <w:szCs w:val="22"/>
              </w:rPr>
            </w:pPr>
            <w:r>
              <w:rPr>
                <w:rFonts w:ascii="Calibri" w:eastAsia="Times New Roman" w:hAnsi="Calibri" w:cs="Calibri"/>
                <w:sz w:val="22"/>
                <w:szCs w:val="22"/>
              </w:rPr>
              <w:t>15</w:t>
            </w:r>
          </w:p>
        </w:tc>
        <w:tc>
          <w:tcPr>
            <w:tcW w:w="0" w:type="auto"/>
            <w:tcBorders>
              <w:top w:val="single" w:sz="6" w:space="0" w:color="666666"/>
              <w:left w:val="single" w:sz="6" w:space="0" w:color="666666"/>
              <w:bottom w:val="single" w:sz="6" w:space="0" w:color="666666"/>
              <w:right w:val="single" w:sz="6" w:space="0" w:color="666666"/>
            </w:tcBorders>
            <w:tcMar>
              <w:top w:w="90" w:type="dxa"/>
              <w:left w:w="90" w:type="dxa"/>
              <w:bottom w:w="90" w:type="dxa"/>
              <w:right w:w="90" w:type="dxa"/>
            </w:tcMar>
            <w:hideMark/>
          </w:tcPr>
          <w:p w:rsidR="00B45AED" w:rsidRDefault="00B45AED">
            <w:pPr>
              <w:spacing w:before="180" w:after="180"/>
              <w:rPr>
                <w:rFonts w:ascii="Calibri" w:eastAsia="Times New Roman" w:hAnsi="Calibri" w:cs="Calibri"/>
                <w:sz w:val="22"/>
                <w:szCs w:val="22"/>
              </w:rPr>
            </w:pPr>
            <w:r>
              <w:rPr>
                <w:rFonts w:ascii="Calibri" w:eastAsia="Times New Roman" w:hAnsi="Calibri" w:cs="Calibri"/>
                <w:sz w:val="22"/>
                <w:szCs w:val="22"/>
              </w:rPr>
              <w:t>5000</w:t>
            </w:r>
          </w:p>
        </w:tc>
        <w:tc>
          <w:tcPr>
            <w:tcW w:w="0" w:type="auto"/>
            <w:tcBorders>
              <w:top w:val="single" w:sz="6" w:space="0" w:color="666666"/>
              <w:left w:val="single" w:sz="6" w:space="0" w:color="666666"/>
              <w:bottom w:val="single" w:sz="6" w:space="0" w:color="666666"/>
              <w:right w:val="single" w:sz="6" w:space="0" w:color="666666"/>
            </w:tcBorders>
            <w:tcMar>
              <w:top w:w="90" w:type="dxa"/>
              <w:left w:w="90" w:type="dxa"/>
              <w:bottom w:w="90" w:type="dxa"/>
              <w:right w:w="90" w:type="dxa"/>
            </w:tcMar>
            <w:hideMark/>
          </w:tcPr>
          <w:p w:rsidR="00B45AED" w:rsidRDefault="00B45AED">
            <w:pPr>
              <w:spacing w:before="180" w:after="180"/>
              <w:rPr>
                <w:rFonts w:ascii="Calibri" w:eastAsia="Times New Roman" w:hAnsi="Calibri" w:cs="Calibri"/>
                <w:sz w:val="22"/>
                <w:szCs w:val="22"/>
              </w:rPr>
            </w:pPr>
            <w:r>
              <w:rPr>
                <w:rFonts w:ascii="Calibri" w:eastAsia="Times New Roman" w:hAnsi="Calibri" w:cs="Calibri"/>
                <w:sz w:val="22"/>
                <w:szCs w:val="22"/>
              </w:rPr>
              <w:t>0.99</w:t>
            </w:r>
          </w:p>
        </w:tc>
        <w:tc>
          <w:tcPr>
            <w:tcW w:w="0" w:type="auto"/>
            <w:tcBorders>
              <w:top w:val="single" w:sz="6" w:space="0" w:color="666666"/>
              <w:left w:val="single" w:sz="6" w:space="0" w:color="666666"/>
              <w:bottom w:val="single" w:sz="6" w:space="0" w:color="666666"/>
              <w:right w:val="single" w:sz="6" w:space="0" w:color="666666"/>
            </w:tcBorders>
            <w:tcMar>
              <w:top w:w="90" w:type="dxa"/>
              <w:left w:w="90" w:type="dxa"/>
              <w:bottom w:w="90" w:type="dxa"/>
              <w:right w:w="90" w:type="dxa"/>
            </w:tcMar>
            <w:hideMark/>
          </w:tcPr>
          <w:p w:rsidR="00B45AED" w:rsidRDefault="00B45AED">
            <w:pPr>
              <w:spacing w:before="180" w:after="180"/>
              <w:rPr>
                <w:rFonts w:ascii="Calibri" w:eastAsia="Times New Roman" w:hAnsi="Calibri" w:cs="Calibri"/>
                <w:sz w:val="22"/>
                <w:szCs w:val="22"/>
              </w:rPr>
            </w:pPr>
            <w:r>
              <w:rPr>
                <w:rFonts w:ascii="Calibri" w:eastAsia="Times New Roman" w:hAnsi="Calibri" w:cs="Calibri"/>
                <w:sz w:val="22"/>
                <w:szCs w:val="22"/>
              </w:rPr>
              <w:t>850</w:t>
            </w:r>
          </w:p>
        </w:tc>
      </w:tr>
    </w:tbl>
    <w:p w:rsidR="00B45AED" w:rsidRDefault="00B45AED">
      <w:pPr>
        <w:pStyle w:val="Ttulo3"/>
        <w:rPr>
          <w:rFonts w:ascii="Calibri" w:eastAsia="Times New Roman" w:hAnsi="Calibri" w:cs="Calibri"/>
        </w:rPr>
      </w:pPr>
      <w:r>
        <w:rPr>
          <w:rFonts w:ascii="Calibri" w:eastAsia="Times New Roman" w:hAnsi="Calibri" w:cs="Calibri"/>
        </w:rPr>
        <w:t>5.2 Dataset CURP Anonimizado (</w:t>
      </w:r>
      <w:r>
        <w:rPr>
          <w:rStyle w:val="CdigoHTML"/>
        </w:rPr>
        <w:t>dataset_curp_anom_piloto_202605.csv</w:t>
      </w:r>
      <w:r>
        <w:rPr>
          <w:rFonts w:ascii="Calibri" w:eastAsia="Times New Roman" w:hAnsi="Calibri" w:cs="Calibri"/>
        </w:rPr>
        <w:t>)</w:t>
      </w:r>
    </w:p>
    <w:p w:rsidR="00B45AED" w:rsidRDefault="00B45AED">
      <w:pPr>
        <w:pStyle w:val="NormalWeb"/>
        <w:rPr>
          <w:rFonts w:ascii="Calibri" w:hAnsi="Calibri" w:cs="Calibri"/>
          <w:sz w:val="22"/>
          <w:szCs w:val="22"/>
        </w:rPr>
      </w:pPr>
      <w:r>
        <w:rPr>
          <w:rFonts w:ascii="Calibri" w:hAnsi="Calibri" w:cs="Calibri"/>
          <w:sz w:val="22"/>
          <w:szCs w:val="22"/>
        </w:rPr>
        <w:t>Una muestra representativa de 1,000 registros de alumnos (centrada en las pruebas sobre Veracruz y Puebla) utilizando un diseño estricto de columnas ofuscadas.</w:t>
      </w:r>
    </w:p>
    <w:p w:rsidR="00B45AED" w:rsidRDefault="00B45AED">
      <w:pPr>
        <w:numPr>
          <w:ilvl w:val="0"/>
          <w:numId w:val="4"/>
        </w:numPr>
        <w:spacing w:before="100" w:beforeAutospacing="1" w:after="100" w:afterAutospacing="1"/>
        <w:rPr>
          <w:rFonts w:ascii="Calibri" w:eastAsia="Times New Roman" w:hAnsi="Calibri" w:cs="Calibri"/>
          <w:sz w:val="22"/>
          <w:szCs w:val="22"/>
        </w:rPr>
      </w:pPr>
      <w:r>
        <w:rPr>
          <w:rStyle w:val="Fuerte"/>
          <w:rFonts w:ascii="Calibri" w:eastAsia="Times New Roman" w:hAnsi="Calibri" w:cs="Calibri"/>
          <w:sz w:val="22"/>
          <w:szCs w:val="22"/>
        </w:rPr>
        <w:t>Propósito:</w:t>
      </w:r>
      <w:r>
        <w:rPr>
          <w:rFonts w:ascii="Calibri" w:eastAsia="Times New Roman" w:hAnsi="Calibri" w:cs="Calibri"/>
          <w:sz w:val="22"/>
          <w:szCs w:val="22"/>
        </w:rPr>
        <w:t xml:space="preserve"> Análisis de distribución de atención e inferencia de completitud de expedientes sin comprometer PII.</w:t>
      </w:r>
    </w:p>
    <w:p w:rsidR="00B45AED" w:rsidRDefault="00B45AED">
      <w:pPr>
        <w:numPr>
          <w:ilvl w:val="0"/>
          <w:numId w:val="4"/>
        </w:numPr>
        <w:spacing w:before="100" w:beforeAutospacing="1" w:after="100" w:afterAutospacing="1"/>
        <w:rPr>
          <w:rFonts w:ascii="Calibri" w:eastAsia="Times New Roman" w:hAnsi="Calibri" w:cs="Calibri"/>
          <w:sz w:val="22"/>
          <w:szCs w:val="22"/>
        </w:rPr>
      </w:pPr>
      <w:r>
        <w:rPr>
          <w:rStyle w:val="Fuerte"/>
          <w:rFonts w:ascii="Calibri" w:eastAsia="Times New Roman" w:hAnsi="Calibri" w:cs="Calibri"/>
          <w:sz w:val="22"/>
          <w:szCs w:val="22"/>
        </w:rPr>
        <w:t>Estructura Cuidada:</w:t>
      </w:r>
      <w:r>
        <w:rPr>
          <w:rFonts w:ascii="Calibri" w:eastAsia="Times New Roman" w:hAnsi="Calibri" w:cs="Calibri"/>
          <w:sz w:val="22"/>
          <w:szCs w:val="22"/>
        </w:rPr>
        <w:t xml:space="preserve"> </w:t>
      </w:r>
    </w:p>
    <w:p w:rsidR="00B45AED" w:rsidRDefault="00B45AED">
      <w:pPr>
        <w:pStyle w:val="NormalWeb"/>
        <w:rPr>
          <w:rFonts w:ascii="Calibri" w:hAnsi="Calibri" w:cs="Calibri"/>
          <w:sz w:val="22"/>
          <w:szCs w:val="22"/>
        </w:rPr>
      </w:pPr>
      <w:r>
        <w:rPr>
          <w:rFonts w:ascii="Calibri" w:hAnsi="Calibri" w:cs="Calibri"/>
          <w:sz w:val="22"/>
          <w:szCs w:val="22"/>
        </w:rPr>
        <w:t xml:space="preserve">- </w:t>
      </w:r>
      <w:r>
        <w:rPr>
          <w:rStyle w:val="CdigoHTML"/>
        </w:rPr>
        <w:t>curp_hash</w:t>
      </w:r>
      <w:r>
        <w:rPr>
          <w:rFonts w:ascii="Calibri" w:hAnsi="Calibri" w:cs="Calibri"/>
          <w:sz w:val="22"/>
          <w:szCs w:val="22"/>
        </w:rPr>
        <w:t>: Identificador trazable internamente para *JOINs* pero inútil si es exfiltrado.</w:t>
      </w:r>
    </w:p>
    <w:p w:rsidR="00B45AED" w:rsidRDefault="00B45AED">
      <w:pPr>
        <w:pStyle w:val="NormalWeb"/>
        <w:rPr>
          <w:rFonts w:ascii="Calibri" w:hAnsi="Calibri" w:cs="Calibri"/>
          <w:sz w:val="22"/>
          <w:szCs w:val="22"/>
        </w:rPr>
      </w:pPr>
      <w:r>
        <w:rPr>
          <w:rFonts w:ascii="Calibri" w:hAnsi="Calibri" w:cs="Calibri"/>
          <w:sz w:val="22"/>
          <w:szCs w:val="22"/>
        </w:rPr>
        <w:t xml:space="preserve">- </w:t>
      </w:r>
      <w:r>
        <w:rPr>
          <w:rStyle w:val="CdigoHTML"/>
        </w:rPr>
        <w:t>cct_hash</w:t>
      </w:r>
      <w:r>
        <w:rPr>
          <w:rFonts w:ascii="Calibri" w:hAnsi="Calibri" w:cs="Calibri"/>
          <w:sz w:val="22"/>
          <w:szCs w:val="22"/>
        </w:rPr>
        <w:t>: Clave del Centro de Trabajo ofuscada.</w:t>
      </w:r>
    </w:p>
    <w:p w:rsidR="00B45AED" w:rsidRDefault="00B45AED">
      <w:pPr>
        <w:pStyle w:val="NormalWeb"/>
        <w:rPr>
          <w:rFonts w:ascii="Calibri" w:hAnsi="Calibri" w:cs="Calibri"/>
          <w:sz w:val="22"/>
          <w:szCs w:val="22"/>
        </w:rPr>
      </w:pPr>
      <w:r>
        <w:rPr>
          <w:rFonts w:ascii="Calibri" w:hAnsi="Calibri" w:cs="Calibri"/>
          <w:sz w:val="22"/>
          <w:szCs w:val="22"/>
        </w:rPr>
        <w:t xml:space="preserve">- </w:t>
      </w:r>
      <w:r>
        <w:rPr>
          <w:rStyle w:val="CdigoHTML"/>
        </w:rPr>
        <w:t>ciclo_escolar</w:t>
      </w:r>
      <w:r>
        <w:rPr>
          <w:rFonts w:ascii="Calibri" w:hAnsi="Calibri" w:cs="Calibri"/>
          <w:sz w:val="22"/>
          <w:szCs w:val="22"/>
        </w:rPr>
        <w:t xml:space="preserve">, </w:t>
      </w:r>
      <w:r>
        <w:rPr>
          <w:rStyle w:val="CdigoHTML"/>
        </w:rPr>
        <w:t>turno</w:t>
      </w:r>
      <w:r>
        <w:rPr>
          <w:rFonts w:ascii="Calibri" w:hAnsi="Calibri" w:cs="Calibri"/>
          <w:sz w:val="22"/>
          <w:szCs w:val="22"/>
        </w:rPr>
        <w:t xml:space="preserve">, y </w:t>
      </w:r>
      <w:r>
        <w:rPr>
          <w:rStyle w:val="CdigoHTML"/>
        </w:rPr>
        <w:t>estatus_api</w:t>
      </w:r>
      <w:r>
        <w:rPr>
          <w:rFonts w:ascii="Calibri" w:hAnsi="Calibri" w:cs="Calibri"/>
          <w:sz w:val="22"/>
          <w:szCs w:val="22"/>
        </w:rPr>
        <w:t xml:space="preserve"> (éxito/fallo de la consulta).</w:t>
      </w:r>
    </w:p>
    <w:p w:rsidR="00B45AED" w:rsidRDefault="00B45AED">
      <w:pPr>
        <w:pStyle w:val="Ttulo3"/>
        <w:rPr>
          <w:rFonts w:ascii="Calibri" w:eastAsia="Times New Roman" w:hAnsi="Calibri" w:cs="Calibri"/>
        </w:rPr>
      </w:pPr>
      <w:r>
        <w:rPr>
          <w:rFonts w:ascii="Calibri" w:eastAsia="Times New Roman" w:hAnsi="Calibri" w:cs="Calibri"/>
        </w:rPr>
        <w:t>5.3 Dataset de Incidencias (</w:t>
      </w:r>
      <w:r>
        <w:rPr>
          <w:rStyle w:val="CdigoHTML"/>
        </w:rPr>
        <w:t>dataset_incidencias_piloto_202605.csv</w:t>
      </w:r>
      <w:r>
        <w:rPr>
          <w:rFonts w:ascii="Calibri" w:eastAsia="Times New Roman" w:hAnsi="Calibri" w:cs="Calibri"/>
        </w:rPr>
        <w:t>)</w:t>
      </w:r>
    </w:p>
    <w:p w:rsidR="00B45AED" w:rsidRDefault="00B45AED">
      <w:pPr>
        <w:pStyle w:val="NormalWeb"/>
        <w:rPr>
          <w:rFonts w:ascii="Calibri" w:hAnsi="Calibri" w:cs="Calibri"/>
          <w:sz w:val="22"/>
          <w:szCs w:val="22"/>
        </w:rPr>
      </w:pPr>
      <w:r>
        <w:rPr>
          <w:rFonts w:ascii="Calibri" w:hAnsi="Calibri" w:cs="Calibri"/>
          <w:sz w:val="22"/>
          <w:szCs w:val="22"/>
        </w:rPr>
        <w:t xml:space="preserve">Extraído directamente de la tabla ampliada </w:t>
      </w:r>
      <w:r>
        <w:rPr>
          <w:rStyle w:val="CdigoHTML"/>
        </w:rPr>
        <w:t>BitacoraEvento</w:t>
      </w:r>
      <w:r>
        <w:rPr>
          <w:rFonts w:ascii="Calibri" w:hAnsi="Calibri" w:cs="Calibri"/>
          <w:sz w:val="22"/>
          <w:szCs w:val="22"/>
        </w:rPr>
        <w:t xml:space="preserve"> de PostgreSQL (implementada en Fase 2), este set cuenta con 120 registros consolidados.</w:t>
      </w:r>
    </w:p>
    <w:p w:rsidR="00B45AED" w:rsidRDefault="00B45AED">
      <w:pPr>
        <w:numPr>
          <w:ilvl w:val="0"/>
          <w:numId w:val="5"/>
        </w:numPr>
        <w:spacing w:before="100" w:beforeAutospacing="1" w:after="100" w:afterAutospacing="1"/>
        <w:rPr>
          <w:rFonts w:ascii="Calibri" w:eastAsia="Times New Roman" w:hAnsi="Calibri" w:cs="Calibri"/>
          <w:sz w:val="22"/>
          <w:szCs w:val="22"/>
        </w:rPr>
      </w:pPr>
      <w:r>
        <w:rPr>
          <w:rStyle w:val="Fuerte"/>
          <w:rFonts w:ascii="Calibri" w:eastAsia="Times New Roman" w:hAnsi="Calibri" w:cs="Calibri"/>
          <w:sz w:val="22"/>
          <w:szCs w:val="22"/>
        </w:rPr>
        <w:t>Propósito:</w:t>
      </w:r>
      <w:r>
        <w:rPr>
          <w:rFonts w:ascii="Calibri" w:eastAsia="Times New Roman" w:hAnsi="Calibri" w:cs="Calibri"/>
          <w:sz w:val="22"/>
          <w:szCs w:val="22"/>
        </w:rPr>
        <w:t xml:space="preserve"> Servirá para realizar rutinas de Procesamiento de Lenguaje Natural (NLP) sobre los mensajes de error devueltos por el proveedor externo y clasificar anomalías.</w:t>
      </w:r>
    </w:p>
    <w:p w:rsidR="00B45AED" w:rsidRDefault="00B45AED">
      <w:pPr>
        <w:numPr>
          <w:ilvl w:val="0"/>
          <w:numId w:val="5"/>
        </w:numPr>
        <w:spacing w:before="100" w:beforeAutospacing="1" w:after="100" w:afterAutospacing="1"/>
        <w:rPr>
          <w:rFonts w:ascii="Calibri" w:eastAsia="Times New Roman" w:hAnsi="Calibri" w:cs="Calibri"/>
          <w:sz w:val="22"/>
          <w:szCs w:val="22"/>
        </w:rPr>
      </w:pPr>
      <w:r>
        <w:rPr>
          <w:rStyle w:val="Fuerte"/>
          <w:rFonts w:ascii="Calibri" w:eastAsia="Times New Roman" w:hAnsi="Calibri" w:cs="Calibri"/>
          <w:sz w:val="22"/>
          <w:szCs w:val="22"/>
        </w:rPr>
        <w:t>Clases incluidas:</w:t>
      </w:r>
      <w:r>
        <w:rPr>
          <w:rFonts w:ascii="Calibri" w:eastAsia="Times New Roman" w:hAnsi="Calibri" w:cs="Calibri"/>
          <w:sz w:val="22"/>
          <w:szCs w:val="22"/>
        </w:rPr>
        <w:t xml:space="preserve"> </w:t>
      </w:r>
      <w:r>
        <w:rPr>
          <w:rStyle w:val="CdigoHTML"/>
        </w:rPr>
        <w:t>RateLimitError</w:t>
      </w:r>
      <w:r>
        <w:rPr>
          <w:rFonts w:ascii="Calibri" w:eastAsia="Times New Roman" w:hAnsi="Calibri" w:cs="Calibri"/>
          <w:sz w:val="22"/>
          <w:szCs w:val="22"/>
        </w:rPr>
        <w:t xml:space="preserve"> (errores HTTP 429), </w:t>
      </w:r>
      <w:r>
        <w:rPr>
          <w:rStyle w:val="CdigoHTML"/>
        </w:rPr>
        <w:t>ConnectionTimeout</w:t>
      </w:r>
      <w:r>
        <w:rPr>
          <w:rFonts w:ascii="Calibri" w:eastAsia="Times New Roman" w:hAnsi="Calibri" w:cs="Calibri"/>
          <w:sz w:val="22"/>
          <w:szCs w:val="22"/>
        </w:rPr>
        <w:t xml:space="preserve">, e </w:t>
      </w:r>
      <w:r>
        <w:rPr>
          <w:rStyle w:val="CdigoHTML"/>
        </w:rPr>
        <w:t>InvalidFormatError</w:t>
      </w:r>
      <w:r>
        <w:rPr>
          <w:rFonts w:ascii="Calibri" w:eastAsia="Times New Roman" w:hAnsi="Calibri" w:cs="Calibri"/>
          <w:sz w:val="22"/>
          <w:szCs w:val="22"/>
        </w:rPr>
        <w:t xml:space="preserve"> (fallos por validación de entrada).</w:t>
      </w:r>
    </w:p>
    <w:p w:rsidR="00B45AED" w:rsidRDefault="00B45AED">
      <w:pPr>
        <w:pStyle w:val="Ttulo3"/>
        <w:rPr>
          <w:rFonts w:ascii="Calibri" w:eastAsia="Times New Roman" w:hAnsi="Calibri" w:cs="Calibri"/>
        </w:rPr>
      </w:pPr>
      <w:r>
        <w:rPr>
          <w:rFonts w:ascii="Calibri" w:eastAsia="Times New Roman" w:hAnsi="Calibri" w:cs="Calibri"/>
        </w:rPr>
        <w:t>5.4 Dataset de Descargas PDF (</w:t>
      </w:r>
      <w:r>
        <w:rPr>
          <w:rStyle w:val="CdigoHTML"/>
        </w:rPr>
        <w:t>dataset_descargas_pdf_piloto_202605.csv</w:t>
      </w:r>
      <w:r>
        <w:rPr>
          <w:rFonts w:ascii="Calibri" w:eastAsia="Times New Roman" w:hAnsi="Calibri" w:cs="Calibri"/>
        </w:rPr>
        <w:t>)</w:t>
      </w:r>
    </w:p>
    <w:p w:rsidR="00B45AED" w:rsidRDefault="00B45AED">
      <w:pPr>
        <w:pStyle w:val="NormalWeb"/>
        <w:rPr>
          <w:rFonts w:ascii="Calibri" w:hAnsi="Calibri" w:cs="Calibri"/>
          <w:sz w:val="22"/>
          <w:szCs w:val="22"/>
        </w:rPr>
      </w:pPr>
      <w:r>
        <w:rPr>
          <w:rFonts w:ascii="Calibri" w:hAnsi="Calibri" w:cs="Calibri"/>
          <w:sz w:val="22"/>
          <w:szCs w:val="22"/>
        </w:rPr>
        <w:t>Contiene 500 registros aleatorios.</w:t>
      </w:r>
    </w:p>
    <w:p w:rsidR="00B45AED" w:rsidRDefault="00B45AED">
      <w:pPr>
        <w:numPr>
          <w:ilvl w:val="0"/>
          <w:numId w:val="6"/>
        </w:numPr>
        <w:spacing w:before="100" w:beforeAutospacing="1" w:after="100" w:afterAutospacing="1"/>
        <w:rPr>
          <w:rFonts w:ascii="Calibri" w:eastAsia="Times New Roman" w:hAnsi="Calibri" w:cs="Calibri"/>
          <w:sz w:val="22"/>
          <w:szCs w:val="22"/>
        </w:rPr>
      </w:pPr>
      <w:r>
        <w:rPr>
          <w:rStyle w:val="Fuerte"/>
          <w:rFonts w:ascii="Calibri" w:eastAsia="Times New Roman" w:hAnsi="Calibri" w:cs="Calibri"/>
          <w:sz w:val="22"/>
          <w:szCs w:val="22"/>
        </w:rPr>
        <w:t>Propósito:</w:t>
      </w:r>
      <w:r>
        <w:rPr>
          <w:rFonts w:ascii="Calibri" w:eastAsia="Times New Roman" w:hAnsi="Calibri" w:cs="Calibri"/>
          <w:sz w:val="22"/>
          <w:szCs w:val="22"/>
        </w:rPr>
        <w:t xml:space="preserve"> </w:t>
      </w:r>
      <w:r>
        <w:rPr>
          <w:rFonts w:ascii="Calibri" w:eastAsia="Times New Roman" w:hAnsi="Calibri" w:cs="Calibri"/>
          <w:sz w:val="22"/>
          <w:szCs w:val="22"/>
        </w:rPr>
        <w:t>Correlacionar el volumen en bytes del PDF resultante con el tiempo total de descarga.</w:t>
      </w:r>
    </w:p>
    <w:p w:rsidR="00B45AED" w:rsidRDefault="00B45AED">
      <w:pPr>
        <w:numPr>
          <w:ilvl w:val="0"/>
          <w:numId w:val="6"/>
        </w:numPr>
        <w:spacing w:before="100" w:beforeAutospacing="1" w:after="100" w:afterAutospacing="1"/>
        <w:rPr>
          <w:rFonts w:ascii="Calibri" w:eastAsia="Times New Roman" w:hAnsi="Calibri" w:cs="Calibri"/>
          <w:sz w:val="22"/>
          <w:szCs w:val="22"/>
        </w:rPr>
      </w:pPr>
      <w:r>
        <w:rPr>
          <w:rStyle w:val="Fuerte"/>
          <w:rFonts w:ascii="Calibri" w:eastAsia="Times New Roman" w:hAnsi="Calibri" w:cs="Calibri"/>
          <w:sz w:val="22"/>
          <w:szCs w:val="22"/>
        </w:rPr>
        <w:t>Uso de IA:</w:t>
      </w:r>
      <w:r>
        <w:rPr>
          <w:rFonts w:ascii="Calibri" w:eastAsia="Times New Roman" w:hAnsi="Calibri" w:cs="Calibri"/>
          <w:sz w:val="22"/>
          <w:szCs w:val="22"/>
        </w:rPr>
        <w:t xml:space="preserve"> Análisis de regresión para estimar ventanas de ancho de banda requeridas para los reportes trimestrales nacionales.</w:t>
      </w:r>
    </w:p>
    <w:p w:rsidR="00B45AED" w:rsidRDefault="00B45AED">
      <w:pPr>
        <w:pStyle w:val="Ttulo2"/>
        <w:rPr>
          <w:rFonts w:ascii="Calibri" w:eastAsia="Times New Roman" w:hAnsi="Calibri" w:cs="Calibri"/>
        </w:rPr>
      </w:pPr>
      <w:r>
        <w:rPr>
          <w:rFonts w:ascii="Calibri" w:eastAsia="Times New Roman" w:hAnsi="Calibri" w:cs="Calibri"/>
        </w:rPr>
        <w:t>6. Selección de Variables (Feature Engineering)</w:t>
      </w:r>
    </w:p>
    <w:p w:rsidR="00B45AED" w:rsidRDefault="00B45AED">
      <w:pPr>
        <w:pStyle w:val="NormalWeb"/>
        <w:rPr>
          <w:rFonts w:ascii="Calibri" w:hAnsi="Calibri" w:cs="Calibri"/>
          <w:sz w:val="22"/>
          <w:szCs w:val="22"/>
        </w:rPr>
      </w:pPr>
      <w:r>
        <w:rPr>
          <w:rFonts w:ascii="Calibri" w:hAnsi="Calibri" w:cs="Calibri"/>
          <w:sz w:val="22"/>
          <w:szCs w:val="22"/>
        </w:rPr>
        <w:t>En contraste con abril, las características seleccionadas se materializaron en datos procesables:</w:t>
      </w:r>
    </w:p>
    <w:p w:rsidR="00B45AED" w:rsidRDefault="00B45AED">
      <w:pPr>
        <w:pStyle w:val="Ttulo3"/>
        <w:rPr>
          <w:rFonts w:ascii="Calibri" w:eastAsia="Times New Roman" w:hAnsi="Calibri" w:cs="Calibri"/>
        </w:rPr>
      </w:pPr>
      <w:r>
        <w:rPr>
          <w:rFonts w:ascii="Calibri" w:eastAsia="Times New Roman" w:hAnsi="Calibri" w:cs="Calibri"/>
        </w:rPr>
        <w:t>6.1 Features de Configuración de Lote</w:t>
      </w:r>
    </w:p>
    <w:p w:rsidR="00B45AED" w:rsidRDefault="00B45AED">
      <w:pPr>
        <w:numPr>
          <w:ilvl w:val="0"/>
          <w:numId w:val="7"/>
        </w:numPr>
        <w:spacing w:before="100" w:beforeAutospacing="1" w:after="100" w:afterAutospacing="1"/>
        <w:rPr>
          <w:rFonts w:ascii="Calibri" w:eastAsia="Times New Roman" w:hAnsi="Calibri" w:cs="Calibri"/>
          <w:sz w:val="22"/>
          <w:szCs w:val="22"/>
        </w:rPr>
      </w:pPr>
      <w:r>
        <w:rPr>
          <w:rStyle w:val="CdigoHTML"/>
        </w:rPr>
        <w:t>hilos_activos</w:t>
      </w:r>
      <w:r>
        <w:rPr>
          <w:rFonts w:ascii="Calibri" w:eastAsia="Times New Roman" w:hAnsi="Calibri" w:cs="Calibri"/>
          <w:sz w:val="22"/>
          <w:szCs w:val="22"/>
        </w:rPr>
        <w:t>: Permite al modelo entender cuándo se dispara el WAF del IMSS.</w:t>
      </w:r>
    </w:p>
    <w:p w:rsidR="00B45AED" w:rsidRDefault="00B45AED">
      <w:pPr>
        <w:numPr>
          <w:ilvl w:val="0"/>
          <w:numId w:val="7"/>
        </w:numPr>
        <w:spacing w:before="100" w:beforeAutospacing="1" w:after="100" w:afterAutospacing="1"/>
        <w:rPr>
          <w:rFonts w:ascii="Calibri" w:eastAsia="Times New Roman" w:hAnsi="Calibri" w:cs="Calibri"/>
          <w:sz w:val="22"/>
          <w:szCs w:val="22"/>
        </w:rPr>
      </w:pPr>
      <w:r>
        <w:rPr>
          <w:rStyle w:val="CdigoHTML"/>
        </w:rPr>
        <w:t>franja_horaria</w:t>
      </w:r>
      <w:r>
        <w:rPr>
          <w:rFonts w:ascii="Calibri" w:eastAsia="Times New Roman" w:hAnsi="Calibri" w:cs="Calibri"/>
          <w:sz w:val="22"/>
          <w:szCs w:val="22"/>
        </w:rPr>
        <w:t>: Variable categórica para detectar la congestión de la infraestructura externa a ciertas horas.</w:t>
      </w:r>
    </w:p>
    <w:p w:rsidR="00B45AED" w:rsidRDefault="00B45AED">
      <w:pPr>
        <w:pStyle w:val="Ttulo3"/>
        <w:rPr>
          <w:rFonts w:ascii="Calibri" w:eastAsia="Times New Roman" w:hAnsi="Calibri" w:cs="Calibri"/>
        </w:rPr>
      </w:pPr>
      <w:r>
        <w:rPr>
          <w:rFonts w:ascii="Calibri" w:eastAsia="Times New Roman" w:hAnsi="Calibri" w:cs="Calibri"/>
        </w:rPr>
        <w:t>6.2 Features de Fallos Operativos</w:t>
      </w:r>
    </w:p>
    <w:p w:rsidR="00B45AED" w:rsidRDefault="00B45AED">
      <w:pPr>
        <w:numPr>
          <w:ilvl w:val="0"/>
          <w:numId w:val="8"/>
        </w:numPr>
        <w:spacing w:before="100" w:beforeAutospacing="1" w:after="100" w:afterAutospacing="1"/>
        <w:rPr>
          <w:rFonts w:ascii="Calibri" w:eastAsia="Times New Roman" w:hAnsi="Calibri" w:cs="Calibri"/>
          <w:sz w:val="22"/>
          <w:szCs w:val="22"/>
        </w:rPr>
      </w:pPr>
      <w:r>
        <w:rPr>
          <w:rStyle w:val="CdigoHTML"/>
        </w:rPr>
        <w:t>reintentos_ejecutados</w:t>
      </w:r>
      <w:r>
        <w:rPr>
          <w:rFonts w:ascii="Calibri" w:eastAsia="Times New Roman" w:hAnsi="Calibri" w:cs="Calibri"/>
          <w:sz w:val="22"/>
          <w:szCs w:val="22"/>
        </w:rPr>
        <w:t>: Representa el nivel de fatiga y la efectividad del *Circuit Breaker*.</w:t>
      </w:r>
    </w:p>
    <w:p w:rsidR="00B45AED" w:rsidRDefault="00B45AED">
      <w:pPr>
        <w:numPr>
          <w:ilvl w:val="0"/>
          <w:numId w:val="8"/>
        </w:numPr>
        <w:spacing w:before="100" w:beforeAutospacing="1" w:after="100" w:afterAutospacing="1"/>
        <w:rPr>
          <w:rFonts w:ascii="Calibri" w:eastAsia="Times New Roman" w:hAnsi="Calibri" w:cs="Calibri"/>
          <w:sz w:val="22"/>
          <w:szCs w:val="22"/>
        </w:rPr>
      </w:pPr>
      <w:r>
        <w:rPr>
          <w:rStyle w:val="CdigoHTML"/>
        </w:rPr>
        <w:t>categoria_error</w:t>
      </w:r>
      <w:r>
        <w:rPr>
          <w:rFonts w:ascii="Calibri" w:eastAsia="Times New Roman" w:hAnsi="Calibri" w:cs="Calibri"/>
          <w:sz w:val="22"/>
          <w:szCs w:val="22"/>
        </w:rPr>
        <w:t>: Clasificación del mensaje de la bitácora transformada en variable discreta (One-Hot Encoding a nivel pipeline).</w:t>
      </w:r>
    </w:p>
    <w:p w:rsidR="00B45AED" w:rsidRDefault="00B45AED">
      <w:pPr>
        <w:pStyle w:val="NormalWeb"/>
        <w:rPr>
          <w:rFonts w:ascii="Calibri" w:hAnsi="Calibri" w:cs="Calibri"/>
          <w:sz w:val="22"/>
          <w:szCs w:val="22"/>
        </w:rPr>
      </w:pPr>
      <w:r>
        <w:rPr>
          <w:rStyle w:val="Fuerte"/>
          <w:rFonts w:ascii="Calibri" w:hAnsi="Calibri" w:cs="Calibri"/>
          <w:sz w:val="22"/>
          <w:szCs w:val="22"/>
        </w:rPr>
        <w:t>Snippet de Feature Engineering (Python/Pandas):</w:t>
      </w:r>
    </w:p>
    <w:p w:rsidR="00B45AED" w:rsidRDefault="00B45AED">
      <w:pPr>
        <w:pStyle w:val="HTMLconformatoprevio"/>
      </w:pPr>
    </w:p>
    <w:p w:rsidR="00B45AED" w:rsidRDefault="00B45AED">
      <w:pPr>
        <w:pStyle w:val="HTMLconformatoprevio"/>
      </w:pPr>
      <w:r>
        <w:t>import pandas as pd</w:t>
      </w:r>
    </w:p>
    <w:p w:rsidR="00B45AED" w:rsidRDefault="00B45AED">
      <w:pPr>
        <w:pStyle w:val="HTMLconformatoprevio"/>
      </w:pPr>
    </w:p>
    <w:p w:rsidR="00B45AED" w:rsidRDefault="00B45AED">
      <w:pPr>
        <w:pStyle w:val="HTMLconformatoprevio"/>
      </w:pPr>
      <w:r>
        <w:t>def aplicar_one_hot_encoding(df: pd.DataFrame) -&gt; pd.DataFrame:</w:t>
      </w:r>
    </w:p>
    <w:p w:rsidR="00B45AED" w:rsidRDefault="00B45AED">
      <w:pPr>
        <w:pStyle w:val="HTMLconformatoprevio"/>
      </w:pPr>
      <w:r>
        <w:t xml:space="preserve">    """</w:t>
      </w:r>
    </w:p>
    <w:p w:rsidR="00B45AED" w:rsidRDefault="00B45AED">
      <w:pPr>
        <w:pStyle w:val="HTMLconformatoprevio"/>
      </w:pPr>
      <w:r>
        <w:t xml:space="preserve">    Convierte la variable categórica 'categoria_error' en columnas binarias</w:t>
      </w:r>
    </w:p>
    <w:p w:rsidR="00B45AED" w:rsidRDefault="00B45AED">
      <w:pPr>
        <w:pStyle w:val="HTMLconformatoprevio"/>
      </w:pPr>
      <w:r>
        <w:t xml:space="preserve">    para el modelo de ML, eliminando variables de texto libre.</w:t>
      </w:r>
    </w:p>
    <w:p w:rsidR="00B45AED" w:rsidRDefault="00B45AED">
      <w:pPr>
        <w:pStyle w:val="HTMLconformatoprevio"/>
      </w:pPr>
      <w:r>
        <w:t xml:space="preserve">    """</w:t>
      </w:r>
    </w:p>
    <w:p w:rsidR="00B45AED" w:rsidRDefault="00B45AED">
      <w:pPr>
        <w:pStyle w:val="HTMLconformatoprevio"/>
      </w:pPr>
      <w:r>
        <w:t xml:space="preserve">    # 1. Limpieza de strings</w:t>
      </w:r>
    </w:p>
    <w:p w:rsidR="00B45AED" w:rsidRDefault="00B45AED">
      <w:pPr>
        <w:pStyle w:val="HTMLconformatoprevio"/>
      </w:pPr>
      <w:r>
        <w:t xml:space="preserve">    df['categoria_error'] = df['categoria_error'].fillna('NINGUNO').str.upper()</w:t>
      </w:r>
    </w:p>
    <w:p w:rsidR="00B45AED" w:rsidRDefault="00B45AED">
      <w:pPr>
        <w:pStyle w:val="HTMLconformatoprevio"/>
      </w:pPr>
      <w:r>
        <w:t xml:space="preserve">    </w:t>
      </w:r>
    </w:p>
    <w:p w:rsidR="00B45AED" w:rsidRDefault="00B45AED">
      <w:pPr>
        <w:pStyle w:val="HTMLconformatoprevio"/>
      </w:pPr>
      <w:r>
        <w:t xml:space="preserve">    # 2. Aplicació</w:t>
      </w:r>
      <w:r>
        <w:t>n de One-Hot Encoding</w:t>
      </w:r>
    </w:p>
    <w:p w:rsidR="00B45AED" w:rsidRDefault="00B45AED">
      <w:pPr>
        <w:pStyle w:val="HTMLconformatoprevio"/>
      </w:pPr>
      <w:r>
        <w:t xml:space="preserve">    df_encoded = pd.get_dummies(df, columns=['categoria_error'], prefix='ERR')</w:t>
      </w:r>
    </w:p>
    <w:p w:rsidR="00B45AED" w:rsidRDefault="00B45AED">
      <w:pPr>
        <w:pStyle w:val="HTMLconformatoprevio"/>
      </w:pPr>
      <w:r>
        <w:t xml:space="preserve">    </w:t>
      </w:r>
    </w:p>
    <w:p w:rsidR="00B45AED" w:rsidRDefault="00B45AED">
      <w:pPr>
        <w:pStyle w:val="HTMLconformatoprevio"/>
      </w:pPr>
      <w:r>
        <w:t xml:space="preserve">    # 3. Conversión estricta a enteros para optimizar memoria</w:t>
      </w:r>
    </w:p>
    <w:p w:rsidR="00B45AED" w:rsidRDefault="00B45AED">
      <w:pPr>
        <w:pStyle w:val="HTMLconformatoprevio"/>
      </w:pPr>
      <w:r>
        <w:t xml:space="preserve">    columnas_err = [col for col in df_encoded.columns if col.startswith('ERR_')]</w:t>
      </w:r>
    </w:p>
    <w:p w:rsidR="00B45AED" w:rsidRDefault="00B45AED">
      <w:pPr>
        <w:pStyle w:val="HTMLconformatoprevio"/>
      </w:pPr>
      <w:r>
        <w:t xml:space="preserve">    df_encoded[columnas_err] = df_encoded[columnas_err].astype(int)</w:t>
      </w:r>
    </w:p>
    <w:p w:rsidR="00B45AED" w:rsidRDefault="00B45AED">
      <w:pPr>
        <w:pStyle w:val="HTMLconformatoprevio"/>
      </w:pPr>
      <w:r>
        <w:t xml:space="preserve">    </w:t>
      </w:r>
    </w:p>
    <w:p w:rsidR="00B45AED" w:rsidRDefault="00B45AED">
      <w:pPr>
        <w:pStyle w:val="HTMLconformatoprevio"/>
      </w:pPr>
      <w:r>
        <w:t xml:space="preserve">    return df_encoded</w:t>
      </w:r>
    </w:p>
    <w:p w:rsidR="00B45AED" w:rsidRDefault="00B45AED">
      <w:pPr>
        <w:pStyle w:val="Ttulo2"/>
        <w:rPr>
          <w:rFonts w:ascii="Calibri" w:eastAsia="Times New Roman" w:hAnsi="Calibri" w:cs="Calibri"/>
        </w:rPr>
      </w:pPr>
      <w:r>
        <w:rPr>
          <w:rFonts w:ascii="Calibri" w:eastAsia="Times New Roman" w:hAnsi="Calibri" w:cs="Calibri"/>
        </w:rPr>
        <w:t>7. Pruebas y Validación (Test Plan de Datos)</w:t>
      </w:r>
    </w:p>
    <w:p w:rsidR="00B45AED" w:rsidRDefault="00B45AED">
      <w:pPr>
        <w:pStyle w:val="NormalWeb"/>
        <w:rPr>
          <w:rFonts w:ascii="Calibri" w:hAnsi="Calibri" w:cs="Calibri"/>
          <w:sz w:val="22"/>
          <w:szCs w:val="22"/>
        </w:rPr>
      </w:pPr>
      <w:r>
        <w:rPr>
          <w:rFonts w:ascii="Calibri" w:hAnsi="Calibri" w:cs="Calibri"/>
          <w:sz w:val="22"/>
          <w:szCs w:val="22"/>
        </w:rPr>
        <w:t>Para asegurar el estricto cumplimiento de la calidad y privacidad, se sometieron los *datasets* a las siguientes validaciones:</w:t>
      </w:r>
    </w:p>
    <w:p w:rsidR="00B45AED" w:rsidRDefault="00B45AED">
      <w:pPr>
        <w:pStyle w:val="NormalWeb"/>
        <w:rPr>
          <w:rFonts w:ascii="Calibri" w:hAnsi="Calibri" w:cs="Calibri"/>
          <w:sz w:val="22"/>
          <w:szCs w:val="22"/>
        </w:rPr>
      </w:pPr>
      <w:r>
        <w:rPr>
          <w:rFonts w:ascii="Calibri" w:hAnsi="Calibri" w:cs="Calibri"/>
          <w:sz w:val="22"/>
          <w:szCs w:val="22"/>
        </w:rPr>
        <w:t xml:space="preserve">1. </w:t>
      </w:r>
      <w:r>
        <w:rPr>
          <w:rStyle w:val="Fuerte"/>
          <w:rFonts w:ascii="Calibri" w:hAnsi="Calibri" w:cs="Calibri"/>
          <w:sz w:val="22"/>
          <w:szCs w:val="22"/>
        </w:rPr>
        <w:t>Verificación de Colisiones Hash:</w:t>
      </w:r>
      <w:r>
        <w:rPr>
          <w:rFonts w:ascii="Calibri" w:hAnsi="Calibri" w:cs="Calibri"/>
          <w:sz w:val="22"/>
          <w:szCs w:val="22"/>
        </w:rPr>
        <w:t xml:space="preserve"> Se analizó si dos CURPs distintas podían generar el mismo *hash* truncado, comprobando el rango de entropía para la cantidad de registros.</w:t>
      </w:r>
    </w:p>
    <w:p w:rsidR="00B45AED" w:rsidRDefault="00B45AED">
      <w:pPr>
        <w:pStyle w:val="NormalWeb"/>
        <w:rPr>
          <w:rFonts w:ascii="Calibri" w:hAnsi="Calibri" w:cs="Calibri"/>
          <w:sz w:val="22"/>
          <w:szCs w:val="22"/>
        </w:rPr>
      </w:pPr>
      <w:r>
        <w:rPr>
          <w:rFonts w:ascii="Calibri" w:hAnsi="Calibri" w:cs="Calibri"/>
          <w:sz w:val="22"/>
          <w:szCs w:val="22"/>
        </w:rPr>
        <w:t xml:space="preserve">2. </w:t>
      </w:r>
      <w:r>
        <w:rPr>
          <w:rStyle w:val="Fuerte"/>
          <w:rFonts w:ascii="Calibri" w:hAnsi="Calibri" w:cs="Calibri"/>
          <w:sz w:val="22"/>
          <w:szCs w:val="22"/>
        </w:rPr>
        <w:t>Inspección de Fugas (Leakage Inspection):</w:t>
      </w:r>
      <w:r>
        <w:rPr>
          <w:rFonts w:ascii="Calibri" w:hAnsi="Calibri" w:cs="Calibri"/>
          <w:sz w:val="22"/>
          <w:szCs w:val="22"/>
        </w:rPr>
        <w:t xml:space="preserve"> </w:t>
      </w:r>
      <w:r>
        <w:rPr>
          <w:rFonts w:ascii="Calibri" w:hAnsi="Calibri" w:cs="Calibri"/>
          <w:sz w:val="22"/>
          <w:szCs w:val="22"/>
        </w:rPr>
        <w:t xml:space="preserve">Se auditaron los 4 archivos CSV con expresiones regulares (regex heurísticas como </w:t>
      </w:r>
      <w:r>
        <w:rPr>
          <w:rStyle w:val="CdigoHTML"/>
        </w:rPr>
        <w:t>^\d{10}$</w:t>
      </w:r>
      <w:r>
        <w:rPr>
          <w:rFonts w:ascii="Calibri" w:hAnsi="Calibri" w:cs="Calibri"/>
          <w:sz w:val="22"/>
          <w:szCs w:val="22"/>
        </w:rPr>
        <w:t xml:space="preserve"> para teléfonos o </w:t>
      </w:r>
      <w:r>
        <w:rPr>
          <w:rStyle w:val="CdigoHTML"/>
        </w:rPr>
        <w:t>^[\w\.-]+@[\w\.-]+\.\w+$</w:t>
      </w:r>
      <w:r>
        <w:rPr>
          <w:rFonts w:ascii="Calibri" w:hAnsi="Calibri" w:cs="Calibri"/>
          <w:sz w:val="22"/>
          <w:szCs w:val="22"/>
        </w:rPr>
        <w:t xml:space="preserve"> para correos electrónicos), corroborando cero detecciones de texto plano de PII.</w:t>
      </w:r>
    </w:p>
    <w:p w:rsidR="00B45AED" w:rsidRDefault="00B45AED">
      <w:pPr>
        <w:pStyle w:val="Ttulo2"/>
        <w:rPr>
          <w:rFonts w:ascii="Calibri" w:eastAsia="Times New Roman" w:hAnsi="Calibri" w:cs="Calibri"/>
        </w:rPr>
      </w:pPr>
      <w:r>
        <w:rPr>
          <w:rFonts w:ascii="Calibri" w:eastAsia="Times New Roman" w:hAnsi="Calibri" w:cs="Calibri"/>
        </w:rPr>
        <w:t>8. Lineamientos de Gobernanza Consolidados</w:t>
      </w:r>
    </w:p>
    <w:p w:rsidR="00B45AED" w:rsidRDefault="00B45AED">
      <w:pPr>
        <w:pStyle w:val="NormalWeb"/>
        <w:rPr>
          <w:rFonts w:ascii="Calibri" w:hAnsi="Calibri" w:cs="Calibri"/>
          <w:sz w:val="22"/>
          <w:szCs w:val="22"/>
        </w:rPr>
      </w:pPr>
      <w:r>
        <w:rPr>
          <w:rFonts w:ascii="Calibri" w:hAnsi="Calibri" w:cs="Calibri"/>
          <w:sz w:val="22"/>
          <w:szCs w:val="22"/>
        </w:rPr>
        <w:t>La generación de estos conjuntos estableció el estándar de gobernanza para cualquier extracción futura en la SEP orientada a *Machine Learning*:</w:t>
      </w:r>
    </w:p>
    <w:p w:rsidR="00B45AED" w:rsidRDefault="00B45AED">
      <w:pPr>
        <w:numPr>
          <w:ilvl w:val="0"/>
          <w:numId w:val="9"/>
        </w:numPr>
        <w:spacing w:before="100" w:beforeAutospacing="1" w:after="100" w:afterAutospacing="1"/>
        <w:rPr>
          <w:rFonts w:ascii="Calibri" w:eastAsia="Times New Roman" w:hAnsi="Calibri" w:cs="Calibri"/>
          <w:sz w:val="22"/>
          <w:szCs w:val="22"/>
        </w:rPr>
      </w:pPr>
      <w:r>
        <w:rPr>
          <w:rStyle w:val="Fuerte"/>
          <w:rFonts w:ascii="Calibri" w:eastAsia="Times New Roman" w:hAnsi="Calibri" w:cs="Calibri"/>
          <w:sz w:val="22"/>
          <w:szCs w:val="22"/>
        </w:rPr>
        <w:t>Aislamiento Funcional:</w:t>
      </w:r>
      <w:r>
        <w:rPr>
          <w:rFonts w:ascii="Calibri" w:eastAsia="Times New Roman" w:hAnsi="Calibri" w:cs="Calibri"/>
          <w:sz w:val="22"/>
          <w:szCs w:val="22"/>
        </w:rPr>
        <w:t xml:space="preserve"> El motor de base de datos transaccional no realizará transformaciones de anonimización costosas en vivo. Los *pipelines* ETL intermedios se encargarán del enmascaramiento antes de liberar el dataset.</w:t>
      </w:r>
    </w:p>
    <w:p w:rsidR="00B45AED" w:rsidRDefault="00B45AED">
      <w:pPr>
        <w:numPr>
          <w:ilvl w:val="0"/>
          <w:numId w:val="9"/>
        </w:numPr>
        <w:spacing w:before="100" w:beforeAutospacing="1" w:after="100" w:afterAutospacing="1"/>
        <w:rPr>
          <w:rFonts w:ascii="Calibri" w:eastAsia="Times New Roman" w:hAnsi="Calibri" w:cs="Calibri"/>
          <w:sz w:val="22"/>
          <w:szCs w:val="22"/>
        </w:rPr>
      </w:pPr>
      <w:r>
        <w:rPr>
          <w:rStyle w:val="Fuerte"/>
          <w:rFonts w:ascii="Calibri" w:eastAsia="Times New Roman" w:hAnsi="Calibri" w:cs="Calibri"/>
          <w:sz w:val="22"/>
          <w:szCs w:val="22"/>
        </w:rPr>
        <w:t>Transitoriedad:</w:t>
      </w:r>
      <w:r>
        <w:rPr>
          <w:rFonts w:ascii="Calibri" w:eastAsia="Times New Roman" w:hAnsi="Calibri" w:cs="Calibri"/>
          <w:sz w:val="22"/>
          <w:szCs w:val="22"/>
        </w:rPr>
        <w:t xml:space="preserve"> Los archivos generados localmente son destruidos o excluidos del repositorio, forzando la trazabilidad.</w:t>
      </w:r>
    </w:p>
    <w:p w:rsidR="00B45AED" w:rsidRDefault="00B45AED">
      <w:pPr>
        <w:numPr>
          <w:ilvl w:val="0"/>
          <w:numId w:val="9"/>
        </w:numPr>
        <w:spacing w:before="100" w:beforeAutospacing="1" w:after="100" w:afterAutospacing="1"/>
        <w:rPr>
          <w:rFonts w:ascii="Calibri" w:eastAsia="Times New Roman" w:hAnsi="Calibri" w:cs="Calibri"/>
          <w:sz w:val="22"/>
          <w:szCs w:val="22"/>
        </w:rPr>
      </w:pPr>
      <w:r>
        <w:rPr>
          <w:rStyle w:val="Fuerte"/>
          <w:rFonts w:ascii="Calibri" w:eastAsia="Times New Roman" w:hAnsi="Calibri" w:cs="Calibri"/>
          <w:sz w:val="22"/>
          <w:szCs w:val="22"/>
        </w:rPr>
        <w:t>Seguridad y Control de Acceso (RBAC):</w:t>
      </w:r>
      <w:r>
        <w:rPr>
          <w:rFonts w:ascii="Calibri" w:eastAsia="Times New Roman" w:hAnsi="Calibri" w:cs="Calibri"/>
          <w:sz w:val="22"/>
          <w:szCs w:val="22"/>
        </w:rPr>
        <w:t xml:space="preserve"> Se estableció la integración obligatoria con las tablas maestras de seguridad de Oracle (</w:t>
      </w:r>
      <w:r>
        <w:rPr>
          <w:rStyle w:val="CdigoHTML"/>
        </w:rPr>
        <w:t>CTMU061_USUARIO</w:t>
      </w:r>
      <w:r>
        <w:rPr>
          <w:rFonts w:ascii="Calibri" w:eastAsia="Times New Roman" w:hAnsi="Calibri" w:cs="Calibri"/>
          <w:sz w:val="22"/>
          <w:szCs w:val="22"/>
        </w:rPr>
        <w:t xml:space="preserve">, </w:t>
      </w:r>
      <w:r>
        <w:rPr>
          <w:rStyle w:val="CdigoHTML"/>
        </w:rPr>
        <w:t>CTMU062_PERFIL</w:t>
      </w:r>
      <w:r>
        <w:rPr>
          <w:rFonts w:ascii="Calibri" w:eastAsia="Times New Roman" w:hAnsi="Calibri" w:cs="Calibri"/>
          <w:sz w:val="22"/>
          <w:szCs w:val="22"/>
        </w:rPr>
        <w:t xml:space="preserve">, </w:t>
      </w:r>
      <w:r>
        <w:rPr>
          <w:rStyle w:val="CdigoHTML"/>
        </w:rPr>
        <w:t>CTMU063_REPORTE</w:t>
      </w:r>
      <w:r>
        <w:rPr>
          <w:rFonts w:ascii="Calibri" w:eastAsia="Times New Roman" w:hAnsi="Calibri" w:cs="Calibri"/>
          <w:sz w:val="22"/>
          <w:szCs w:val="22"/>
        </w:rPr>
        <w:t xml:space="preserve"> y </w:t>
      </w:r>
      <w:r>
        <w:rPr>
          <w:rStyle w:val="CdigoHTML"/>
        </w:rPr>
        <w:t>CTMU064_PERMISO</w:t>
      </w:r>
      <w:r>
        <w:rPr>
          <w:rFonts w:ascii="Calibri" w:eastAsia="Times New Roman" w:hAnsi="Calibri" w:cs="Calibri"/>
          <w:sz w:val="22"/>
          <w:szCs w:val="22"/>
        </w:rPr>
        <w:t>). Esto garantiza que los datasets expuestos mantengan su jerarquía de roles de forma nativa desde la base de datos, previniendo fugas horizontales o escalamiento de privilegios al interactuar con las características generadas.</w:t>
      </w:r>
    </w:p>
    <w:p w:rsidR="00B45AED" w:rsidRDefault="00B45AED">
      <w:pPr>
        <w:pStyle w:val="NormalWeb"/>
        <w:rPr>
          <w:rFonts w:ascii="Calibri" w:hAnsi="Calibri" w:cs="Calibri"/>
          <w:sz w:val="22"/>
          <w:szCs w:val="22"/>
        </w:rPr>
      </w:pPr>
      <w:r>
        <w:rPr>
          <w:rStyle w:val="Fuerte"/>
          <w:rFonts w:ascii="Calibri" w:hAnsi="Calibri" w:cs="Calibri"/>
          <w:sz w:val="22"/>
          <w:szCs w:val="22"/>
        </w:rPr>
        <w:t>Matriz de Seguridad y Privilegios Analíticos (RBAC):</w:t>
      </w:r>
    </w:p>
    <w:tbl>
      <w:tblPr>
        <w:tblW w:w="5000" w:type="pct"/>
        <w:tblCellMar>
          <w:top w:w="15" w:type="dxa"/>
          <w:left w:w="15" w:type="dxa"/>
          <w:bottom w:w="15" w:type="dxa"/>
          <w:right w:w="15" w:type="dxa"/>
        </w:tblCellMar>
        <w:tblLook w:val="04A0" w:firstRow="1" w:lastRow="0" w:firstColumn="1" w:lastColumn="0" w:noHBand="0" w:noVBand="1"/>
      </w:tblPr>
      <w:tblGrid>
        <w:gridCol w:w="1981"/>
        <w:gridCol w:w="2023"/>
        <w:gridCol w:w="1951"/>
        <w:gridCol w:w="2867"/>
      </w:tblGrid>
      <w:tr w:rsidR="00000000">
        <w:trPr>
          <w:tblHeader/>
        </w:trPr>
        <w:tc>
          <w:tcPr>
            <w:tcW w:w="0" w:type="auto"/>
            <w:tcBorders>
              <w:top w:val="single" w:sz="6" w:space="0" w:color="666666"/>
              <w:left w:val="single" w:sz="6" w:space="0" w:color="666666"/>
              <w:bottom w:val="single" w:sz="6" w:space="0" w:color="666666"/>
              <w:right w:val="single" w:sz="6" w:space="0" w:color="666666"/>
            </w:tcBorders>
            <w:tcMar>
              <w:top w:w="90" w:type="dxa"/>
              <w:left w:w="90" w:type="dxa"/>
              <w:bottom w:w="90" w:type="dxa"/>
              <w:right w:w="90" w:type="dxa"/>
            </w:tcMar>
            <w:hideMark/>
          </w:tcPr>
          <w:p w:rsidR="00B45AED" w:rsidRDefault="00B45AED">
            <w:pPr>
              <w:spacing w:before="180" w:after="180"/>
              <w:rPr>
                <w:rFonts w:ascii="Calibri" w:eastAsia="Times New Roman" w:hAnsi="Calibri" w:cs="Calibri"/>
                <w:b/>
                <w:bCs/>
                <w:sz w:val="22"/>
                <w:szCs w:val="22"/>
              </w:rPr>
            </w:pPr>
            <w:r>
              <w:rPr>
                <w:rFonts w:ascii="Calibri" w:eastAsia="Times New Roman" w:hAnsi="Calibri" w:cs="Calibri"/>
                <w:b/>
                <w:bCs/>
                <w:sz w:val="22"/>
                <w:szCs w:val="22"/>
              </w:rPr>
              <w:t>Tabla Oracle</w:t>
            </w:r>
          </w:p>
        </w:tc>
        <w:tc>
          <w:tcPr>
            <w:tcW w:w="0" w:type="auto"/>
            <w:tcBorders>
              <w:top w:val="single" w:sz="6" w:space="0" w:color="666666"/>
              <w:left w:val="single" w:sz="6" w:space="0" w:color="666666"/>
              <w:bottom w:val="single" w:sz="6" w:space="0" w:color="666666"/>
              <w:right w:val="single" w:sz="6" w:space="0" w:color="666666"/>
            </w:tcBorders>
            <w:tcMar>
              <w:top w:w="90" w:type="dxa"/>
              <w:left w:w="90" w:type="dxa"/>
              <w:bottom w:w="90" w:type="dxa"/>
              <w:right w:w="90" w:type="dxa"/>
            </w:tcMar>
            <w:hideMark/>
          </w:tcPr>
          <w:p w:rsidR="00B45AED" w:rsidRDefault="00B45AED">
            <w:pPr>
              <w:spacing w:before="180" w:after="180"/>
              <w:rPr>
                <w:rFonts w:ascii="Calibri" w:eastAsia="Times New Roman" w:hAnsi="Calibri" w:cs="Calibri"/>
                <w:b/>
                <w:bCs/>
                <w:sz w:val="22"/>
                <w:szCs w:val="22"/>
              </w:rPr>
            </w:pPr>
            <w:r>
              <w:rPr>
                <w:rFonts w:ascii="Calibri" w:eastAsia="Times New Roman" w:hAnsi="Calibri" w:cs="Calibri"/>
                <w:b/>
                <w:bCs/>
                <w:sz w:val="22"/>
                <w:szCs w:val="22"/>
              </w:rPr>
              <w:t>Responsabilidad Lógica</w:t>
            </w:r>
          </w:p>
        </w:tc>
        <w:tc>
          <w:tcPr>
            <w:tcW w:w="0" w:type="auto"/>
            <w:tcBorders>
              <w:top w:val="single" w:sz="6" w:space="0" w:color="666666"/>
              <w:left w:val="single" w:sz="6" w:space="0" w:color="666666"/>
              <w:bottom w:val="single" w:sz="6" w:space="0" w:color="666666"/>
              <w:right w:val="single" w:sz="6" w:space="0" w:color="666666"/>
            </w:tcBorders>
            <w:tcMar>
              <w:top w:w="90" w:type="dxa"/>
              <w:left w:w="90" w:type="dxa"/>
              <w:bottom w:w="90" w:type="dxa"/>
              <w:right w:w="90" w:type="dxa"/>
            </w:tcMar>
            <w:hideMark/>
          </w:tcPr>
          <w:p w:rsidR="00B45AED" w:rsidRDefault="00B45AED">
            <w:pPr>
              <w:spacing w:before="180" w:after="180"/>
              <w:rPr>
                <w:rFonts w:ascii="Calibri" w:eastAsia="Times New Roman" w:hAnsi="Calibri" w:cs="Calibri"/>
                <w:b/>
                <w:bCs/>
                <w:sz w:val="22"/>
                <w:szCs w:val="22"/>
              </w:rPr>
            </w:pPr>
            <w:r>
              <w:rPr>
                <w:rFonts w:ascii="Calibri" w:eastAsia="Times New Roman" w:hAnsi="Calibri" w:cs="Calibri"/>
                <w:b/>
                <w:bCs/>
                <w:sz w:val="22"/>
                <w:szCs w:val="22"/>
              </w:rPr>
              <w:t>Nivel de Acceso Analítico</w:t>
            </w:r>
          </w:p>
        </w:tc>
        <w:tc>
          <w:tcPr>
            <w:tcW w:w="0" w:type="auto"/>
            <w:tcBorders>
              <w:top w:val="single" w:sz="6" w:space="0" w:color="666666"/>
              <w:left w:val="single" w:sz="6" w:space="0" w:color="666666"/>
              <w:bottom w:val="single" w:sz="6" w:space="0" w:color="666666"/>
              <w:right w:val="single" w:sz="6" w:space="0" w:color="666666"/>
            </w:tcBorders>
            <w:tcMar>
              <w:top w:w="90" w:type="dxa"/>
              <w:left w:w="90" w:type="dxa"/>
              <w:bottom w:w="90" w:type="dxa"/>
              <w:right w:w="90" w:type="dxa"/>
            </w:tcMar>
            <w:hideMark/>
          </w:tcPr>
          <w:p w:rsidR="00B45AED" w:rsidRDefault="00B45AED">
            <w:pPr>
              <w:spacing w:before="180" w:after="180"/>
              <w:rPr>
                <w:rFonts w:ascii="Calibri" w:eastAsia="Times New Roman" w:hAnsi="Calibri" w:cs="Calibri"/>
                <w:b/>
                <w:bCs/>
                <w:sz w:val="22"/>
                <w:szCs w:val="22"/>
              </w:rPr>
            </w:pPr>
            <w:r>
              <w:rPr>
                <w:rFonts w:ascii="Calibri" w:eastAsia="Times New Roman" w:hAnsi="Calibri" w:cs="Calibri"/>
                <w:b/>
                <w:bCs/>
                <w:sz w:val="22"/>
                <w:szCs w:val="22"/>
              </w:rPr>
              <w:t>Acción sobre Datasets</w:t>
            </w:r>
          </w:p>
        </w:tc>
      </w:tr>
      <w:tr w:rsidR="00000000">
        <w:tc>
          <w:tcPr>
            <w:tcW w:w="0" w:type="auto"/>
            <w:tcBorders>
              <w:top w:val="single" w:sz="6" w:space="0" w:color="666666"/>
              <w:left w:val="single" w:sz="6" w:space="0" w:color="666666"/>
              <w:bottom w:val="single" w:sz="6" w:space="0" w:color="666666"/>
              <w:right w:val="single" w:sz="6" w:space="0" w:color="666666"/>
            </w:tcBorders>
            <w:tcMar>
              <w:top w:w="90" w:type="dxa"/>
              <w:left w:w="90" w:type="dxa"/>
              <w:bottom w:w="90" w:type="dxa"/>
              <w:right w:w="90" w:type="dxa"/>
            </w:tcMar>
            <w:hideMark/>
          </w:tcPr>
          <w:p w:rsidR="00B45AED" w:rsidRDefault="00B45AED">
            <w:pPr>
              <w:spacing w:before="180" w:after="180"/>
              <w:rPr>
                <w:rFonts w:ascii="Calibri" w:eastAsia="Times New Roman" w:hAnsi="Calibri" w:cs="Calibri"/>
                <w:sz w:val="22"/>
                <w:szCs w:val="22"/>
              </w:rPr>
            </w:pPr>
            <w:r>
              <w:rPr>
                <w:rStyle w:val="CdigoHTML"/>
              </w:rPr>
              <w:t>CTMU061_USUARIO</w:t>
            </w:r>
          </w:p>
        </w:tc>
        <w:tc>
          <w:tcPr>
            <w:tcW w:w="0" w:type="auto"/>
            <w:tcBorders>
              <w:top w:val="single" w:sz="6" w:space="0" w:color="666666"/>
              <w:left w:val="single" w:sz="6" w:space="0" w:color="666666"/>
              <w:bottom w:val="single" w:sz="6" w:space="0" w:color="666666"/>
              <w:right w:val="single" w:sz="6" w:space="0" w:color="666666"/>
            </w:tcBorders>
            <w:tcMar>
              <w:top w:w="90" w:type="dxa"/>
              <w:left w:w="90" w:type="dxa"/>
              <w:bottom w:w="90" w:type="dxa"/>
              <w:right w:w="90" w:type="dxa"/>
            </w:tcMar>
            <w:hideMark/>
          </w:tcPr>
          <w:p w:rsidR="00B45AED" w:rsidRDefault="00B45AED">
            <w:pPr>
              <w:spacing w:before="180" w:after="180"/>
              <w:rPr>
                <w:rFonts w:ascii="Calibri" w:eastAsia="Times New Roman" w:hAnsi="Calibri" w:cs="Calibri"/>
                <w:sz w:val="22"/>
                <w:szCs w:val="22"/>
              </w:rPr>
            </w:pPr>
            <w:r>
              <w:rPr>
                <w:rFonts w:ascii="Calibri" w:eastAsia="Times New Roman" w:hAnsi="Calibri" w:cs="Calibri"/>
                <w:sz w:val="22"/>
                <w:szCs w:val="22"/>
              </w:rPr>
              <w:t>Gestión de Identidad</w:t>
            </w:r>
          </w:p>
        </w:tc>
        <w:tc>
          <w:tcPr>
            <w:tcW w:w="0" w:type="auto"/>
            <w:tcBorders>
              <w:top w:val="single" w:sz="6" w:space="0" w:color="666666"/>
              <w:left w:val="single" w:sz="6" w:space="0" w:color="666666"/>
              <w:bottom w:val="single" w:sz="6" w:space="0" w:color="666666"/>
              <w:right w:val="single" w:sz="6" w:space="0" w:color="666666"/>
            </w:tcBorders>
            <w:tcMar>
              <w:top w:w="90" w:type="dxa"/>
              <w:left w:w="90" w:type="dxa"/>
              <w:bottom w:w="90" w:type="dxa"/>
              <w:right w:w="90" w:type="dxa"/>
            </w:tcMar>
            <w:hideMark/>
          </w:tcPr>
          <w:p w:rsidR="00B45AED" w:rsidRDefault="00B45AED">
            <w:pPr>
              <w:spacing w:before="180" w:after="180"/>
              <w:rPr>
                <w:rFonts w:ascii="Calibri" w:eastAsia="Times New Roman" w:hAnsi="Calibri" w:cs="Calibri"/>
                <w:sz w:val="22"/>
                <w:szCs w:val="22"/>
              </w:rPr>
            </w:pPr>
            <w:r>
              <w:rPr>
                <w:rFonts w:ascii="Calibri" w:eastAsia="Times New Roman" w:hAnsi="Calibri" w:cs="Calibri"/>
                <w:sz w:val="22"/>
                <w:szCs w:val="22"/>
              </w:rPr>
              <w:t>Solo sus extracciones</w:t>
            </w:r>
          </w:p>
        </w:tc>
        <w:tc>
          <w:tcPr>
            <w:tcW w:w="0" w:type="auto"/>
            <w:tcBorders>
              <w:top w:val="single" w:sz="6" w:space="0" w:color="666666"/>
              <w:left w:val="single" w:sz="6" w:space="0" w:color="666666"/>
              <w:bottom w:val="single" w:sz="6" w:space="0" w:color="666666"/>
              <w:right w:val="single" w:sz="6" w:space="0" w:color="666666"/>
            </w:tcBorders>
            <w:tcMar>
              <w:top w:w="90" w:type="dxa"/>
              <w:left w:w="90" w:type="dxa"/>
              <w:bottom w:w="90" w:type="dxa"/>
              <w:right w:w="90" w:type="dxa"/>
            </w:tcMar>
            <w:hideMark/>
          </w:tcPr>
          <w:p w:rsidR="00B45AED" w:rsidRDefault="00B45AED">
            <w:pPr>
              <w:spacing w:before="180" w:after="180"/>
              <w:rPr>
                <w:rFonts w:ascii="Calibri" w:eastAsia="Times New Roman" w:hAnsi="Calibri" w:cs="Calibri"/>
                <w:sz w:val="22"/>
                <w:szCs w:val="22"/>
              </w:rPr>
            </w:pPr>
            <w:r>
              <w:rPr>
                <w:rStyle w:val="CdigoHTML"/>
              </w:rPr>
              <w:t>SELECT</w:t>
            </w:r>
            <w:r>
              <w:rPr>
                <w:rFonts w:ascii="Calibri" w:eastAsia="Times New Roman" w:hAnsi="Calibri" w:cs="Calibri"/>
                <w:sz w:val="22"/>
                <w:szCs w:val="22"/>
              </w:rPr>
              <w:t xml:space="preserve"> con Filtro de Usuario</w:t>
            </w:r>
          </w:p>
        </w:tc>
      </w:tr>
      <w:tr w:rsidR="00000000">
        <w:tc>
          <w:tcPr>
            <w:tcW w:w="0" w:type="auto"/>
            <w:tcBorders>
              <w:top w:val="single" w:sz="6" w:space="0" w:color="666666"/>
              <w:left w:val="single" w:sz="6" w:space="0" w:color="666666"/>
              <w:bottom w:val="single" w:sz="6" w:space="0" w:color="666666"/>
              <w:right w:val="single" w:sz="6" w:space="0" w:color="666666"/>
            </w:tcBorders>
            <w:tcMar>
              <w:top w:w="90" w:type="dxa"/>
              <w:left w:w="90" w:type="dxa"/>
              <w:bottom w:w="90" w:type="dxa"/>
              <w:right w:w="90" w:type="dxa"/>
            </w:tcMar>
            <w:hideMark/>
          </w:tcPr>
          <w:p w:rsidR="00B45AED" w:rsidRDefault="00B45AED">
            <w:pPr>
              <w:spacing w:before="180" w:after="180"/>
              <w:rPr>
                <w:rFonts w:ascii="Calibri" w:eastAsia="Times New Roman" w:hAnsi="Calibri" w:cs="Calibri"/>
                <w:sz w:val="22"/>
                <w:szCs w:val="22"/>
              </w:rPr>
            </w:pPr>
            <w:r>
              <w:rPr>
                <w:rStyle w:val="CdigoHTML"/>
              </w:rPr>
              <w:t>CTMU062_PERFIL</w:t>
            </w:r>
          </w:p>
        </w:tc>
        <w:tc>
          <w:tcPr>
            <w:tcW w:w="0" w:type="auto"/>
            <w:tcBorders>
              <w:top w:val="single" w:sz="6" w:space="0" w:color="666666"/>
              <w:left w:val="single" w:sz="6" w:space="0" w:color="666666"/>
              <w:bottom w:val="single" w:sz="6" w:space="0" w:color="666666"/>
              <w:right w:val="single" w:sz="6" w:space="0" w:color="666666"/>
            </w:tcBorders>
            <w:tcMar>
              <w:top w:w="90" w:type="dxa"/>
              <w:left w:w="90" w:type="dxa"/>
              <w:bottom w:w="90" w:type="dxa"/>
              <w:right w:w="90" w:type="dxa"/>
            </w:tcMar>
            <w:hideMark/>
          </w:tcPr>
          <w:p w:rsidR="00B45AED" w:rsidRDefault="00B45AED">
            <w:pPr>
              <w:spacing w:before="180" w:after="180"/>
              <w:rPr>
                <w:rFonts w:ascii="Calibri" w:eastAsia="Times New Roman" w:hAnsi="Calibri" w:cs="Calibri"/>
                <w:sz w:val="22"/>
                <w:szCs w:val="22"/>
              </w:rPr>
            </w:pPr>
            <w:r>
              <w:rPr>
                <w:rFonts w:ascii="Calibri" w:eastAsia="Times New Roman" w:hAnsi="Calibri" w:cs="Calibri"/>
                <w:sz w:val="22"/>
                <w:szCs w:val="22"/>
              </w:rPr>
              <w:t>Agrupación de Roles</w:t>
            </w:r>
          </w:p>
        </w:tc>
        <w:tc>
          <w:tcPr>
            <w:tcW w:w="0" w:type="auto"/>
            <w:tcBorders>
              <w:top w:val="single" w:sz="6" w:space="0" w:color="666666"/>
              <w:left w:val="single" w:sz="6" w:space="0" w:color="666666"/>
              <w:bottom w:val="single" w:sz="6" w:space="0" w:color="666666"/>
              <w:right w:val="single" w:sz="6" w:space="0" w:color="666666"/>
            </w:tcBorders>
            <w:tcMar>
              <w:top w:w="90" w:type="dxa"/>
              <w:left w:w="90" w:type="dxa"/>
              <w:bottom w:w="90" w:type="dxa"/>
              <w:right w:w="90" w:type="dxa"/>
            </w:tcMar>
            <w:hideMark/>
          </w:tcPr>
          <w:p w:rsidR="00B45AED" w:rsidRDefault="00B45AED">
            <w:pPr>
              <w:spacing w:before="180" w:after="180"/>
              <w:rPr>
                <w:rFonts w:ascii="Calibri" w:eastAsia="Times New Roman" w:hAnsi="Calibri" w:cs="Calibri"/>
                <w:sz w:val="22"/>
                <w:szCs w:val="22"/>
              </w:rPr>
            </w:pPr>
            <w:r>
              <w:rPr>
                <w:rFonts w:ascii="Calibri" w:eastAsia="Times New Roman" w:hAnsi="Calibri" w:cs="Calibri"/>
                <w:sz w:val="22"/>
                <w:szCs w:val="22"/>
              </w:rPr>
              <w:t>Nivel Regional / Estatal</w:t>
            </w:r>
          </w:p>
        </w:tc>
        <w:tc>
          <w:tcPr>
            <w:tcW w:w="0" w:type="auto"/>
            <w:tcBorders>
              <w:top w:val="single" w:sz="6" w:space="0" w:color="666666"/>
              <w:left w:val="single" w:sz="6" w:space="0" w:color="666666"/>
              <w:bottom w:val="single" w:sz="6" w:space="0" w:color="666666"/>
              <w:right w:val="single" w:sz="6" w:space="0" w:color="666666"/>
            </w:tcBorders>
            <w:tcMar>
              <w:top w:w="90" w:type="dxa"/>
              <w:left w:w="90" w:type="dxa"/>
              <w:bottom w:w="90" w:type="dxa"/>
              <w:right w:w="90" w:type="dxa"/>
            </w:tcMar>
            <w:hideMark/>
          </w:tcPr>
          <w:p w:rsidR="00B45AED" w:rsidRDefault="00B45AED">
            <w:pPr>
              <w:spacing w:before="180" w:after="180"/>
              <w:rPr>
                <w:rFonts w:ascii="Calibri" w:eastAsia="Times New Roman" w:hAnsi="Calibri" w:cs="Calibri"/>
                <w:sz w:val="22"/>
                <w:szCs w:val="22"/>
              </w:rPr>
            </w:pPr>
            <w:r>
              <w:rPr>
                <w:rFonts w:ascii="Calibri" w:eastAsia="Times New Roman" w:hAnsi="Calibri" w:cs="Calibri"/>
                <w:sz w:val="22"/>
                <w:szCs w:val="22"/>
              </w:rPr>
              <w:t xml:space="preserve">Define el </w:t>
            </w:r>
            <w:r>
              <w:rPr>
                <w:rStyle w:val="CdigoHTML"/>
              </w:rPr>
              <w:t>WHERE id_estado = X</w:t>
            </w:r>
          </w:p>
        </w:tc>
      </w:tr>
      <w:tr w:rsidR="00000000">
        <w:tc>
          <w:tcPr>
            <w:tcW w:w="0" w:type="auto"/>
            <w:tcBorders>
              <w:top w:val="single" w:sz="6" w:space="0" w:color="666666"/>
              <w:left w:val="single" w:sz="6" w:space="0" w:color="666666"/>
              <w:bottom w:val="single" w:sz="6" w:space="0" w:color="666666"/>
              <w:right w:val="single" w:sz="6" w:space="0" w:color="666666"/>
            </w:tcBorders>
            <w:tcMar>
              <w:top w:w="90" w:type="dxa"/>
              <w:left w:w="90" w:type="dxa"/>
              <w:bottom w:w="90" w:type="dxa"/>
              <w:right w:w="90" w:type="dxa"/>
            </w:tcMar>
            <w:hideMark/>
          </w:tcPr>
          <w:p w:rsidR="00B45AED" w:rsidRDefault="00B45AED">
            <w:pPr>
              <w:spacing w:before="180" w:after="180"/>
              <w:rPr>
                <w:rFonts w:ascii="Calibri" w:eastAsia="Times New Roman" w:hAnsi="Calibri" w:cs="Calibri"/>
                <w:sz w:val="22"/>
                <w:szCs w:val="22"/>
              </w:rPr>
            </w:pPr>
            <w:r>
              <w:rPr>
                <w:rStyle w:val="CdigoHTML"/>
              </w:rPr>
              <w:t>CTMU063_REPORTE</w:t>
            </w:r>
          </w:p>
        </w:tc>
        <w:tc>
          <w:tcPr>
            <w:tcW w:w="0" w:type="auto"/>
            <w:tcBorders>
              <w:top w:val="single" w:sz="6" w:space="0" w:color="666666"/>
              <w:left w:val="single" w:sz="6" w:space="0" w:color="666666"/>
              <w:bottom w:val="single" w:sz="6" w:space="0" w:color="666666"/>
              <w:right w:val="single" w:sz="6" w:space="0" w:color="666666"/>
            </w:tcBorders>
            <w:tcMar>
              <w:top w:w="90" w:type="dxa"/>
              <w:left w:w="90" w:type="dxa"/>
              <w:bottom w:w="90" w:type="dxa"/>
              <w:right w:w="90" w:type="dxa"/>
            </w:tcMar>
            <w:hideMark/>
          </w:tcPr>
          <w:p w:rsidR="00B45AED" w:rsidRDefault="00B45AED">
            <w:pPr>
              <w:spacing w:before="180" w:after="180"/>
              <w:rPr>
                <w:rFonts w:ascii="Calibri" w:eastAsia="Times New Roman" w:hAnsi="Calibri" w:cs="Calibri"/>
                <w:sz w:val="22"/>
                <w:szCs w:val="22"/>
              </w:rPr>
            </w:pPr>
            <w:r>
              <w:rPr>
                <w:rFonts w:ascii="Calibri" w:eastAsia="Times New Roman" w:hAnsi="Calibri" w:cs="Calibri"/>
                <w:sz w:val="22"/>
                <w:szCs w:val="22"/>
              </w:rPr>
              <w:t>Vistas Autorizadas</w:t>
            </w:r>
          </w:p>
        </w:tc>
        <w:tc>
          <w:tcPr>
            <w:tcW w:w="0" w:type="auto"/>
            <w:tcBorders>
              <w:top w:val="single" w:sz="6" w:space="0" w:color="666666"/>
              <w:left w:val="single" w:sz="6" w:space="0" w:color="666666"/>
              <w:bottom w:val="single" w:sz="6" w:space="0" w:color="666666"/>
              <w:right w:val="single" w:sz="6" w:space="0" w:color="666666"/>
            </w:tcBorders>
            <w:tcMar>
              <w:top w:w="90" w:type="dxa"/>
              <w:left w:w="90" w:type="dxa"/>
              <w:bottom w:w="90" w:type="dxa"/>
              <w:right w:w="90" w:type="dxa"/>
            </w:tcMar>
            <w:hideMark/>
          </w:tcPr>
          <w:p w:rsidR="00B45AED" w:rsidRDefault="00B45AED">
            <w:pPr>
              <w:spacing w:before="180" w:after="180"/>
              <w:rPr>
                <w:rFonts w:ascii="Calibri" w:eastAsia="Times New Roman" w:hAnsi="Calibri" w:cs="Calibri"/>
                <w:sz w:val="22"/>
                <w:szCs w:val="22"/>
              </w:rPr>
            </w:pPr>
            <w:r>
              <w:rPr>
                <w:rFonts w:ascii="Calibri" w:eastAsia="Times New Roman" w:hAnsi="Calibri" w:cs="Calibri"/>
                <w:sz w:val="22"/>
                <w:szCs w:val="22"/>
              </w:rPr>
              <w:t>Vistas Específicas</w:t>
            </w:r>
          </w:p>
        </w:tc>
        <w:tc>
          <w:tcPr>
            <w:tcW w:w="0" w:type="auto"/>
            <w:tcBorders>
              <w:top w:val="single" w:sz="6" w:space="0" w:color="666666"/>
              <w:left w:val="single" w:sz="6" w:space="0" w:color="666666"/>
              <w:bottom w:val="single" w:sz="6" w:space="0" w:color="666666"/>
              <w:right w:val="single" w:sz="6" w:space="0" w:color="666666"/>
            </w:tcBorders>
            <w:tcMar>
              <w:top w:w="90" w:type="dxa"/>
              <w:left w:w="90" w:type="dxa"/>
              <w:bottom w:w="90" w:type="dxa"/>
              <w:right w:w="90" w:type="dxa"/>
            </w:tcMar>
            <w:hideMark/>
          </w:tcPr>
          <w:p w:rsidR="00B45AED" w:rsidRDefault="00B45AED">
            <w:pPr>
              <w:spacing w:before="180" w:after="180"/>
              <w:rPr>
                <w:rFonts w:ascii="Calibri" w:eastAsia="Times New Roman" w:hAnsi="Calibri" w:cs="Calibri"/>
                <w:sz w:val="22"/>
                <w:szCs w:val="22"/>
              </w:rPr>
            </w:pPr>
            <w:r>
              <w:rPr>
                <w:rFonts w:ascii="Calibri" w:eastAsia="Times New Roman" w:hAnsi="Calibri" w:cs="Calibri"/>
                <w:sz w:val="22"/>
                <w:szCs w:val="22"/>
              </w:rPr>
              <w:t>Otorga acceso a DataMarts</w:t>
            </w:r>
          </w:p>
        </w:tc>
      </w:tr>
      <w:tr w:rsidR="00000000">
        <w:tc>
          <w:tcPr>
            <w:tcW w:w="0" w:type="auto"/>
            <w:tcBorders>
              <w:top w:val="single" w:sz="6" w:space="0" w:color="666666"/>
              <w:left w:val="single" w:sz="6" w:space="0" w:color="666666"/>
              <w:bottom w:val="single" w:sz="6" w:space="0" w:color="666666"/>
              <w:right w:val="single" w:sz="6" w:space="0" w:color="666666"/>
            </w:tcBorders>
            <w:tcMar>
              <w:top w:w="90" w:type="dxa"/>
              <w:left w:w="90" w:type="dxa"/>
              <w:bottom w:w="90" w:type="dxa"/>
              <w:right w:w="90" w:type="dxa"/>
            </w:tcMar>
            <w:hideMark/>
          </w:tcPr>
          <w:p w:rsidR="00B45AED" w:rsidRDefault="00B45AED">
            <w:pPr>
              <w:spacing w:before="180" w:after="180"/>
              <w:rPr>
                <w:rFonts w:ascii="Calibri" w:eastAsia="Times New Roman" w:hAnsi="Calibri" w:cs="Calibri"/>
                <w:sz w:val="22"/>
                <w:szCs w:val="22"/>
              </w:rPr>
            </w:pPr>
            <w:r>
              <w:rPr>
                <w:rStyle w:val="CdigoHTML"/>
              </w:rPr>
              <w:t>CTMU064_PERMISO</w:t>
            </w:r>
          </w:p>
        </w:tc>
        <w:tc>
          <w:tcPr>
            <w:tcW w:w="0" w:type="auto"/>
            <w:tcBorders>
              <w:top w:val="single" w:sz="6" w:space="0" w:color="666666"/>
              <w:left w:val="single" w:sz="6" w:space="0" w:color="666666"/>
              <w:bottom w:val="single" w:sz="6" w:space="0" w:color="666666"/>
              <w:right w:val="single" w:sz="6" w:space="0" w:color="666666"/>
            </w:tcBorders>
            <w:tcMar>
              <w:top w:w="90" w:type="dxa"/>
              <w:left w:w="90" w:type="dxa"/>
              <w:bottom w:w="90" w:type="dxa"/>
              <w:right w:w="90" w:type="dxa"/>
            </w:tcMar>
            <w:hideMark/>
          </w:tcPr>
          <w:p w:rsidR="00B45AED" w:rsidRDefault="00B45AED">
            <w:pPr>
              <w:spacing w:before="180" w:after="180"/>
              <w:rPr>
                <w:rFonts w:ascii="Calibri" w:eastAsia="Times New Roman" w:hAnsi="Calibri" w:cs="Calibri"/>
                <w:sz w:val="22"/>
                <w:szCs w:val="22"/>
              </w:rPr>
            </w:pPr>
            <w:r>
              <w:rPr>
                <w:rFonts w:ascii="Calibri" w:eastAsia="Times New Roman" w:hAnsi="Calibri" w:cs="Calibri"/>
                <w:sz w:val="22"/>
                <w:szCs w:val="22"/>
              </w:rPr>
              <w:t>Jerarquía Granular</w:t>
            </w:r>
          </w:p>
        </w:tc>
        <w:tc>
          <w:tcPr>
            <w:tcW w:w="0" w:type="auto"/>
            <w:tcBorders>
              <w:top w:val="single" w:sz="6" w:space="0" w:color="666666"/>
              <w:left w:val="single" w:sz="6" w:space="0" w:color="666666"/>
              <w:bottom w:val="single" w:sz="6" w:space="0" w:color="666666"/>
              <w:right w:val="single" w:sz="6" w:space="0" w:color="666666"/>
            </w:tcBorders>
            <w:tcMar>
              <w:top w:w="90" w:type="dxa"/>
              <w:left w:w="90" w:type="dxa"/>
              <w:bottom w:w="90" w:type="dxa"/>
              <w:right w:w="90" w:type="dxa"/>
            </w:tcMar>
            <w:hideMark/>
          </w:tcPr>
          <w:p w:rsidR="00B45AED" w:rsidRDefault="00B45AED">
            <w:pPr>
              <w:spacing w:before="180" w:after="180"/>
              <w:rPr>
                <w:rFonts w:ascii="Calibri" w:eastAsia="Times New Roman" w:hAnsi="Calibri" w:cs="Calibri"/>
                <w:sz w:val="22"/>
                <w:szCs w:val="22"/>
              </w:rPr>
            </w:pPr>
            <w:r>
              <w:rPr>
                <w:rFonts w:ascii="Calibri" w:eastAsia="Times New Roman" w:hAnsi="Calibri" w:cs="Calibri"/>
                <w:sz w:val="22"/>
                <w:szCs w:val="22"/>
              </w:rPr>
              <w:t>Científico de Datos</w:t>
            </w:r>
          </w:p>
        </w:tc>
        <w:tc>
          <w:tcPr>
            <w:tcW w:w="0" w:type="auto"/>
            <w:tcBorders>
              <w:top w:val="single" w:sz="6" w:space="0" w:color="666666"/>
              <w:left w:val="single" w:sz="6" w:space="0" w:color="666666"/>
              <w:bottom w:val="single" w:sz="6" w:space="0" w:color="666666"/>
              <w:right w:val="single" w:sz="6" w:space="0" w:color="666666"/>
            </w:tcBorders>
            <w:tcMar>
              <w:top w:w="90" w:type="dxa"/>
              <w:left w:w="90" w:type="dxa"/>
              <w:bottom w:w="90" w:type="dxa"/>
              <w:right w:w="90" w:type="dxa"/>
            </w:tcMar>
            <w:hideMark/>
          </w:tcPr>
          <w:p w:rsidR="00B45AED" w:rsidRDefault="00B45AED">
            <w:pPr>
              <w:spacing w:before="180" w:after="180"/>
              <w:rPr>
                <w:rFonts w:ascii="Calibri" w:eastAsia="Times New Roman" w:hAnsi="Calibri" w:cs="Calibri"/>
                <w:sz w:val="22"/>
                <w:szCs w:val="22"/>
              </w:rPr>
            </w:pPr>
            <w:r>
              <w:rPr>
                <w:rFonts w:ascii="Calibri" w:eastAsia="Times New Roman" w:hAnsi="Calibri" w:cs="Calibri"/>
                <w:sz w:val="22"/>
                <w:szCs w:val="22"/>
              </w:rPr>
              <w:t>Acceso irrestricto a Parquets anonimizados</w:t>
            </w:r>
          </w:p>
        </w:tc>
      </w:tr>
    </w:tbl>
    <w:p w:rsidR="00B45AED" w:rsidRDefault="00B45AED">
      <w:pPr>
        <w:pStyle w:val="Ttulo2"/>
        <w:rPr>
          <w:rFonts w:ascii="Calibri" w:eastAsia="Times New Roman" w:hAnsi="Calibri" w:cs="Calibri"/>
        </w:rPr>
      </w:pPr>
      <w:r>
        <w:rPr>
          <w:rFonts w:ascii="Calibri" w:eastAsia="Times New Roman" w:hAnsi="Calibri" w:cs="Calibri"/>
        </w:rPr>
        <w:t>9. Riesgos y Recomendaciones (Evolución de Formato)</w:t>
      </w:r>
    </w:p>
    <w:p w:rsidR="00B45AED" w:rsidRDefault="00B45AED">
      <w:pPr>
        <w:pStyle w:val="NormalWeb"/>
        <w:rPr>
          <w:rFonts w:ascii="Calibri" w:hAnsi="Calibri" w:cs="Calibri"/>
          <w:sz w:val="22"/>
          <w:szCs w:val="22"/>
        </w:rPr>
      </w:pPr>
      <w:r>
        <w:rPr>
          <w:rFonts w:ascii="Calibri" w:hAnsi="Calibri" w:cs="Calibri"/>
          <w:sz w:val="22"/>
          <w:szCs w:val="22"/>
        </w:rPr>
        <w:t>La dependencia en archivos de valores separados por comas (CSV) presenta riesgos operativos y de eficiencia, ya que no preservan el esquema de tipos (por ejemplo, perdiendo si un hash es *string* o numérico) e inflan el almacenamiento.</w:t>
      </w:r>
    </w:p>
    <w:p w:rsidR="00B45AED" w:rsidRDefault="00B45AED">
      <w:pPr>
        <w:numPr>
          <w:ilvl w:val="0"/>
          <w:numId w:val="10"/>
        </w:numPr>
        <w:spacing w:before="100" w:beforeAutospacing="1" w:after="100" w:afterAutospacing="1"/>
        <w:rPr>
          <w:rFonts w:ascii="Calibri" w:eastAsia="Times New Roman" w:hAnsi="Calibri" w:cs="Calibri"/>
          <w:sz w:val="22"/>
          <w:szCs w:val="22"/>
        </w:rPr>
      </w:pPr>
      <w:r>
        <w:rPr>
          <w:rStyle w:val="Fuerte"/>
          <w:rFonts w:ascii="Calibri" w:eastAsia="Times New Roman" w:hAnsi="Calibri" w:cs="Calibri"/>
          <w:sz w:val="22"/>
          <w:szCs w:val="22"/>
        </w:rPr>
        <w:t>Recomendación Estratégica:</w:t>
      </w:r>
      <w:r>
        <w:rPr>
          <w:rFonts w:ascii="Calibri" w:eastAsia="Times New Roman" w:hAnsi="Calibri" w:cs="Calibri"/>
          <w:sz w:val="22"/>
          <w:szCs w:val="22"/>
        </w:rPr>
        <w:t xml:space="preserve"> Evaluar e iniciar el abandono progresivo de archivos CSV para la distribución de *datasets*, sustituyéndolos por la serialización </w:t>
      </w:r>
      <w:r>
        <w:rPr>
          <w:rStyle w:val="Fuerte"/>
          <w:rFonts w:ascii="Calibri" w:eastAsia="Times New Roman" w:hAnsi="Calibri" w:cs="Calibri"/>
          <w:sz w:val="22"/>
          <w:szCs w:val="22"/>
        </w:rPr>
        <w:t>Apache Parquet</w:t>
      </w:r>
      <w:r>
        <w:rPr>
          <w:rFonts w:ascii="Calibri" w:eastAsia="Times New Roman" w:hAnsi="Calibri" w:cs="Calibri"/>
          <w:sz w:val="22"/>
          <w:szCs w:val="22"/>
        </w:rPr>
        <w:t>. Este formato columnar preserva los tipos de datos nativos, permite lecturas segmentadas eficientes y ofrece ratios de compresión significativamente superiores.</w:t>
      </w:r>
    </w:p>
    <w:p w:rsidR="00B45AED" w:rsidRDefault="00B45AED">
      <w:pPr>
        <w:pStyle w:val="Ttulo2"/>
        <w:rPr>
          <w:rFonts w:ascii="Calibri" w:eastAsia="Times New Roman" w:hAnsi="Calibri" w:cs="Calibri"/>
        </w:rPr>
      </w:pPr>
      <w:r>
        <w:rPr>
          <w:rFonts w:ascii="Calibri" w:eastAsia="Times New Roman" w:hAnsi="Calibri" w:cs="Calibri"/>
        </w:rPr>
        <w:t>10. Próximos Pasos (Junio 2026)</w:t>
      </w:r>
    </w:p>
    <w:p w:rsidR="00B45AED" w:rsidRDefault="00B45AED">
      <w:pPr>
        <w:numPr>
          <w:ilvl w:val="0"/>
          <w:numId w:val="11"/>
        </w:numPr>
        <w:spacing w:before="100" w:beforeAutospacing="1" w:after="100" w:afterAutospacing="1"/>
        <w:rPr>
          <w:rFonts w:ascii="Calibri" w:eastAsia="Times New Roman" w:hAnsi="Calibri" w:cs="Calibri"/>
          <w:sz w:val="22"/>
          <w:szCs w:val="22"/>
        </w:rPr>
      </w:pPr>
      <w:r>
        <w:rPr>
          <w:rFonts w:ascii="Calibri" w:eastAsia="Times New Roman" w:hAnsi="Calibri" w:cs="Calibri"/>
          <w:sz w:val="22"/>
          <w:szCs w:val="22"/>
        </w:rPr>
        <w:t>Suministrar formalmente estos 4 conjuntos de datos a la división analítica en el mes de junio para llevar a cabo las primeras iteraciones de agrupamiento (*clustering*) predictivo de errores.</w:t>
      </w:r>
    </w:p>
    <w:p w:rsidR="00B45AED" w:rsidRDefault="00B45AED">
      <w:pPr>
        <w:numPr>
          <w:ilvl w:val="0"/>
          <w:numId w:val="11"/>
        </w:numPr>
        <w:spacing w:before="100" w:beforeAutospacing="1" w:after="100" w:afterAutospacing="1"/>
        <w:rPr>
          <w:rFonts w:ascii="Calibri" w:eastAsia="Times New Roman" w:hAnsi="Calibri" w:cs="Calibri"/>
          <w:sz w:val="22"/>
          <w:szCs w:val="22"/>
        </w:rPr>
      </w:pPr>
      <w:r>
        <w:rPr>
          <w:rFonts w:ascii="Calibri" w:eastAsia="Times New Roman" w:hAnsi="Calibri" w:cs="Calibri"/>
          <w:sz w:val="22"/>
          <w:szCs w:val="22"/>
        </w:rPr>
        <w:t xml:space="preserve">Transicionar los pipelines de generación de IA para que la salida nativa por defecto sea formato </w:t>
      </w:r>
      <w:r>
        <w:rPr>
          <w:rStyle w:val="CdigoHTML"/>
        </w:rPr>
        <w:t>.parquet</w:t>
      </w:r>
      <w:r>
        <w:rPr>
          <w:rFonts w:ascii="Calibri" w:eastAsia="Times New Roman" w:hAnsi="Calibri" w:cs="Calibri"/>
          <w:sz w:val="22"/>
          <w:szCs w:val="22"/>
        </w:rPr>
        <w:t>.</w:t>
      </w:r>
    </w:p>
    <w:p w:rsidR="00B45AED" w:rsidRDefault="00B45AED">
      <w:pPr>
        <w:numPr>
          <w:ilvl w:val="0"/>
          <w:numId w:val="11"/>
        </w:numPr>
        <w:spacing w:before="100" w:beforeAutospacing="1" w:after="100" w:afterAutospacing="1"/>
        <w:rPr>
          <w:rFonts w:ascii="Calibri" w:eastAsia="Times New Roman" w:hAnsi="Calibri" w:cs="Calibri"/>
          <w:sz w:val="22"/>
          <w:szCs w:val="22"/>
        </w:rPr>
      </w:pPr>
      <w:r>
        <w:rPr>
          <w:rFonts w:ascii="Calibri" w:eastAsia="Times New Roman" w:hAnsi="Calibri" w:cs="Calibri"/>
          <w:sz w:val="22"/>
          <w:szCs w:val="22"/>
        </w:rPr>
        <w:t>Implementar rutinas automatizadas de inspección de fugas (*Leakage Scanner*) en los pipelines de ETL.</w:t>
      </w:r>
    </w:p>
    <w:p w:rsidR="00B45AED" w:rsidRDefault="00B45AED">
      <w:pPr>
        <w:rPr>
          <w:rFonts w:ascii="Calibri" w:eastAsia="Times New Roman" w:hAnsi="Calibri" w:cs="Calibri"/>
          <w:sz w:val="22"/>
          <w:szCs w:val="22"/>
        </w:rPr>
      </w:pPr>
      <w:r>
        <w:rPr>
          <w:rFonts w:ascii="Calibri" w:eastAsia="Times New Roman" w:hAnsi="Calibri" w:cs="Calibri"/>
          <w:sz w:val="22"/>
          <w:szCs w:val="22"/>
        </w:rPr>
        <w:pict>
          <v:rect id="_x0000_i1027" style="width:0;height:1.5pt" o:hralign="center" o:hrstd="t" o:hr="t" fillcolor="#a0a0a0" stroked="f"/>
        </w:pict>
      </w:r>
    </w:p>
    <w:p w:rsidR="00B45AED" w:rsidRDefault="00B45AED">
      <w:pPr>
        <w:pStyle w:val="NormalWeb"/>
        <w:rPr>
          <w:rFonts w:ascii="Calibri" w:hAnsi="Calibri" w:cs="Calibri"/>
          <w:sz w:val="22"/>
          <w:szCs w:val="22"/>
        </w:rPr>
      </w:pPr>
      <w:r>
        <w:rPr>
          <w:rStyle w:val="Fuerte"/>
          <w:rFonts w:ascii="Calibri" w:hAnsi="Calibri" w:cs="Calibri"/>
          <w:sz w:val="22"/>
          <w:szCs w:val="22"/>
        </w:rPr>
        <w:t>Comentarios adicionales:</w:t>
      </w:r>
    </w:p>
    <w:p w:rsidR="00B45AED" w:rsidRDefault="00B45AED">
      <w:pPr>
        <w:pStyle w:val="NormalWeb"/>
        <w:rPr>
          <w:rFonts w:ascii="Calibri" w:hAnsi="Calibri" w:cs="Calibri"/>
          <w:sz w:val="22"/>
          <w:szCs w:val="22"/>
        </w:rPr>
      </w:pPr>
      <w:r>
        <w:rPr>
          <w:rFonts w:ascii="Calibri" w:hAnsi="Calibri" w:cs="Calibri"/>
          <w:sz w:val="22"/>
          <w:szCs w:val="22"/>
        </w:rPr>
        <w:t>Este entregable refleja el paso de la definición conceptual de IA realizada en abril, a la producción real de artefactos de datos en mayo. La madurez obtenida a raíz del incidente de seguridad permitió diseñar una canalización de datos donde la Inteligencia Artificial puede ser desarrollada sin menoscabar la privacidad y resguardo mandatado por la Ley.</w:t>
      </w:r>
    </w:p>
    <w:sectPr w:rsidR="00B45AED">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7E1745"/>
    <w:multiLevelType w:val="multilevel"/>
    <w:tmpl w:val="7DE67E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90D4789"/>
    <w:multiLevelType w:val="multilevel"/>
    <w:tmpl w:val="25A6BF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7D968C4"/>
    <w:multiLevelType w:val="multilevel"/>
    <w:tmpl w:val="FFEC94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34527E7"/>
    <w:multiLevelType w:val="multilevel"/>
    <w:tmpl w:val="29A05B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21A200D"/>
    <w:multiLevelType w:val="multilevel"/>
    <w:tmpl w:val="919201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D1E220A"/>
    <w:multiLevelType w:val="multilevel"/>
    <w:tmpl w:val="26DC30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56B1364"/>
    <w:multiLevelType w:val="multilevel"/>
    <w:tmpl w:val="372E70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2463504"/>
    <w:multiLevelType w:val="multilevel"/>
    <w:tmpl w:val="41E417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399730B"/>
    <w:multiLevelType w:val="multilevel"/>
    <w:tmpl w:val="685AD9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A8A5472"/>
    <w:multiLevelType w:val="multilevel"/>
    <w:tmpl w:val="D828EF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E3804D6"/>
    <w:multiLevelType w:val="multilevel"/>
    <w:tmpl w:val="6A42E3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95967669">
    <w:abstractNumId w:val="0"/>
  </w:num>
  <w:num w:numId="2" w16cid:durableId="1055547684">
    <w:abstractNumId w:val="10"/>
  </w:num>
  <w:num w:numId="3" w16cid:durableId="738481982">
    <w:abstractNumId w:val="6"/>
  </w:num>
  <w:num w:numId="4" w16cid:durableId="1092314407">
    <w:abstractNumId w:val="3"/>
  </w:num>
  <w:num w:numId="5" w16cid:durableId="1440878500">
    <w:abstractNumId w:val="5"/>
  </w:num>
  <w:num w:numId="6" w16cid:durableId="1295792754">
    <w:abstractNumId w:val="2"/>
  </w:num>
  <w:num w:numId="7" w16cid:durableId="1988314017">
    <w:abstractNumId w:val="7"/>
  </w:num>
  <w:num w:numId="8" w16cid:durableId="1956519327">
    <w:abstractNumId w:val="4"/>
  </w:num>
  <w:num w:numId="9" w16cid:durableId="1190027072">
    <w:abstractNumId w:val="1"/>
  </w:num>
  <w:num w:numId="10" w16cid:durableId="973213929">
    <w:abstractNumId w:val="9"/>
  </w:num>
  <w:num w:numId="11" w16cid:durableId="1478107277">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noPunctuationKerning/>
  <w:characterSpacingControl w:val="doNotCompress"/>
  <w:compat>
    <w:doNotSnapToGridInCell/>
    <w:doNotWrapTextWithPunct/>
    <w:doNotUseEastAsianBreakRules/>
    <w:growAutofi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D35898"/>
    <w:rsid w:val="00B45AED"/>
    <w:rsid w:val="00D13EE2"/>
    <w:rsid w:val="00D35898"/>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chartTrackingRefBased/>
  <w15:docId w15:val="{56C695E2-88DF-4356-8DF8-D307051A18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MX" w:eastAsia="es-MX"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heme="minorEastAsia"/>
      <w:sz w:val="24"/>
      <w:szCs w:val="24"/>
    </w:rPr>
  </w:style>
  <w:style w:type="paragraph" w:styleId="Ttulo1">
    <w:name w:val="heading 1"/>
    <w:basedOn w:val="Normal"/>
    <w:link w:val="Ttulo1Car"/>
    <w:uiPriority w:val="9"/>
    <w:qFormat/>
    <w:pPr>
      <w:spacing w:before="100" w:beforeAutospacing="1" w:after="100" w:afterAutospacing="1"/>
      <w:outlineLvl w:val="0"/>
    </w:pPr>
    <w:rPr>
      <w:b/>
      <w:bCs/>
      <w:color w:val="1F1F1F"/>
      <w:kern w:val="36"/>
      <w:sz w:val="48"/>
      <w:szCs w:val="48"/>
    </w:rPr>
  </w:style>
  <w:style w:type="paragraph" w:styleId="Ttulo2">
    <w:name w:val="heading 2"/>
    <w:basedOn w:val="Normal"/>
    <w:link w:val="Ttulo2Car"/>
    <w:uiPriority w:val="9"/>
    <w:qFormat/>
    <w:pPr>
      <w:spacing w:before="100" w:beforeAutospacing="1" w:after="100" w:afterAutospacing="1"/>
      <w:outlineLvl w:val="1"/>
    </w:pPr>
    <w:rPr>
      <w:b/>
      <w:bCs/>
      <w:color w:val="1F1F1F"/>
      <w:sz w:val="36"/>
      <w:szCs w:val="36"/>
    </w:rPr>
  </w:style>
  <w:style w:type="paragraph" w:styleId="Ttulo3">
    <w:name w:val="heading 3"/>
    <w:basedOn w:val="Normal"/>
    <w:link w:val="Ttulo3Car"/>
    <w:uiPriority w:val="9"/>
    <w:qFormat/>
    <w:pPr>
      <w:spacing w:before="100" w:beforeAutospacing="1" w:after="100" w:afterAutospacing="1"/>
      <w:outlineLvl w:val="2"/>
    </w:pPr>
    <w:rPr>
      <w:b/>
      <w:bCs/>
      <w:color w:val="1F1F1F"/>
      <w:sz w:val="27"/>
      <w:szCs w:val="27"/>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Pr>
      <w:rFonts w:asciiTheme="minorHAnsi" w:eastAsiaTheme="majorEastAsia" w:hAnsiTheme="minorHAnsi" w:cstheme="majorBidi"/>
      <w:color w:val="0F4761" w:themeColor="accent1" w:themeShade="BF"/>
      <w:sz w:val="28"/>
      <w:szCs w:val="28"/>
    </w:rPr>
  </w:style>
  <w:style w:type="paragraph" w:styleId="HTMLconformatoprevio">
    <w:name w:val="HTML Preformatted"/>
    <w:basedOn w:val="Normal"/>
    <w:link w:val="HTMLconformatoprevioCar"/>
    <w:uiPriority w:val="99"/>
    <w:semiHidden/>
    <w:unhideWhenUsed/>
    <w:pPr>
      <w:pBdr>
        <w:top w:val="single" w:sz="6" w:space="8" w:color="DDDDDD"/>
        <w:left w:val="single" w:sz="6" w:space="8" w:color="DDDDDD"/>
        <w:bottom w:val="single" w:sz="6" w:space="8" w:color="DDDDDD"/>
        <w:right w:val="single" w:sz="6" w:space="8" w:color="DDDDDD"/>
      </w:pBd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nsolas" w:hAnsi="Consolas" w:cs="Courier New"/>
      <w:sz w:val="20"/>
      <w:szCs w:val="20"/>
    </w:rPr>
  </w:style>
  <w:style w:type="character" w:customStyle="1" w:styleId="HTMLconformatoprevioCar">
    <w:name w:val="HTML con formato previo Car"/>
    <w:basedOn w:val="Fuentedeprrafopredeter"/>
    <w:link w:val="HTMLconformatoprevio"/>
    <w:uiPriority w:val="99"/>
    <w:semiHidden/>
    <w:rPr>
      <w:rFonts w:ascii="Consolas" w:eastAsiaTheme="minorEastAsia" w:hAnsi="Consolas"/>
    </w:rPr>
  </w:style>
  <w:style w:type="paragraph" w:customStyle="1" w:styleId="msonormal0">
    <w:name w:val="msonormal"/>
    <w:basedOn w:val="Normal"/>
    <w:pPr>
      <w:spacing w:before="100" w:beforeAutospacing="1" w:after="100" w:afterAutospacing="1"/>
    </w:pPr>
  </w:style>
  <w:style w:type="paragraph" w:styleId="NormalWeb">
    <w:name w:val="Normal (Web)"/>
    <w:basedOn w:val="Normal"/>
    <w:uiPriority w:val="99"/>
    <w:semiHidden/>
    <w:unhideWhenUsed/>
    <w:pPr>
      <w:spacing w:before="100" w:beforeAutospacing="1" w:after="100" w:afterAutospacing="1"/>
    </w:pPr>
  </w:style>
  <w:style w:type="character" w:styleId="Fuerte">
    <w:name w:val="Strong"/>
    <w:basedOn w:val="Fuentedeprrafopredeter"/>
    <w:uiPriority w:val="22"/>
    <w:qFormat/>
    <w:rPr>
      <w:b/>
      <w:bCs/>
    </w:rPr>
  </w:style>
  <w:style w:type="character" w:styleId="CdigoHTML">
    <w:name w:val="HTML Code"/>
    <w:basedOn w:val="Fuentedeprrafopredeter"/>
    <w:uiPriority w:val="99"/>
    <w:semiHidden/>
    <w:unhideWhenUsed/>
    <w:rPr>
      <w:rFonts w:ascii="Courier New" w:eastAsiaTheme="minorEastAsia"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unicode"/>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1579</Words>
  <Characters>8690</Characters>
  <Application>Microsoft Office Word</Application>
  <DocSecurity>0</DocSecurity>
  <Lines>72</Lines>
  <Paragraphs>20</Paragraphs>
  <ScaleCrop>false</ScaleCrop>
  <Company/>
  <LinksUpToDate>false</LinksUpToDate>
  <CharactersWithSpaces>10249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Victor Lelo de Larrea Polanco</dc:creator>
  <cp:keywords/>
  <dc:description/>
  <cp:lastModifiedBy>Victor Lelo de Larrea Polanco</cp:lastModifiedBy>
  <cp:revision>2</cp:revision>
  <dcterms:created xsi:type="dcterms:W3CDTF">2026-06-02T01:07:00Z</dcterms:created>
  <dcterms:modified xsi:type="dcterms:W3CDTF">2026-06-02T01:07:00Z</dcterms:modified>
</cp:coreProperties>
</file>