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46284" w:rsidRDefault="00746284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Informe Mensual de Optimización de Rendimiento de Bases de Datos</w:t>
      </w:r>
    </w:p>
    <w:p w:rsidR="00746284" w:rsidRDefault="007462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:rsidR="00746284" w:rsidRDefault="007462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:rsidR="00746284" w:rsidRDefault="007462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:rsidR="00746284" w:rsidRDefault="00746284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5" style="width:0;height:1.5pt" o:hralign="center" o:hrstd="t" o:hr="t" fillcolor="#a0a0a0" stroked="f"/>
        </w:pict>
      </w:r>
    </w:p>
    <w:p w:rsidR="00746284" w:rsidRDefault="0074628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:rsidR="00746284" w:rsidRDefault="007462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exclusivamente el avance de junio de 2026 en materia de rendimiento de bases de datos, privilegiando cierre comparativo, hallazgos consolidados y recomendaciones finales sustentadas en evidencia del trimestre.</w:t>
      </w:r>
    </w:p>
    <w:p w:rsidR="00746284" w:rsidRDefault="0074628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:rsidR="00746284" w:rsidRDefault="007462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Abril documentó la línea base y mayo concentró la evidencia operativa inicial. Junio debe enfocarse únicamente en:</w:t>
      </w:r>
    </w:p>
    <w:p w:rsidR="00746284" w:rsidRDefault="0074628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comparativos consolidados al cierre del trimestre;</w:t>
      </w:r>
    </w:p>
    <w:p w:rsidR="00746284" w:rsidRDefault="0074628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hallazgos finales sobre concurrencia, índices o tiempos;</w:t>
      </w:r>
    </w:p>
    <w:p w:rsidR="00746284" w:rsidRDefault="0074628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decisiones técnicas confirmadas en junio;</w:t>
      </w:r>
    </w:p>
    <w:p w:rsidR="00746284" w:rsidRDefault="0074628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recomendaciones posteriores al corte trimestral.</w:t>
      </w:r>
    </w:p>
    <w:p w:rsidR="00746284" w:rsidRDefault="0074628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Junio</w:t>
      </w:r>
    </w:p>
    <w:p w:rsidR="00746284" w:rsidRDefault="007462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 el seguimiento de rendimiento deberá orientarse a cerrar con evidencia los puntos críticos ya delimitados:</w:t>
      </w:r>
    </w:p>
    <w:p w:rsidR="00746284" w:rsidRDefault="0074628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extracción desde </w:t>
      </w:r>
      <w:r>
        <w:rPr>
          <w:rStyle w:val="CdigoHTML"/>
        </w:rPr>
        <w:t>menor_evaluado</w:t>
      </w:r>
      <w:r>
        <w:rPr>
          <w:rFonts w:ascii="Calibri" w:eastAsia="Times New Roman" w:hAnsi="Calibri" w:cs="Calibri"/>
          <w:sz w:val="22"/>
          <w:szCs w:val="22"/>
        </w:rPr>
        <w:t xml:space="preserve"> y </w:t>
      </w:r>
      <w:r>
        <w:rPr>
          <w:rStyle w:val="CdigoHTML"/>
        </w:rPr>
        <w:t>catalogo_cct</w:t>
      </w:r>
      <w:r>
        <w:rPr>
          <w:rFonts w:ascii="Calibri" w:eastAsia="Times New Roman" w:hAnsi="Calibri" w:cs="Calibri"/>
          <w:sz w:val="22"/>
          <w:szCs w:val="22"/>
        </w:rPr>
        <w:t>;</w:t>
      </w:r>
    </w:p>
    <w:p w:rsidR="00746284" w:rsidRDefault="0074628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reprocesos basados en 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  <w:sz w:val="22"/>
          <w:szCs w:val="22"/>
        </w:rPr>
        <w:t>;</w:t>
      </w:r>
    </w:p>
    <w:p w:rsidR="00746284" w:rsidRDefault="0074628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recuperación de pendientes por </w:t>
      </w:r>
      <w:r>
        <w:rPr>
          <w:rStyle w:val="CdigoHTML"/>
        </w:rPr>
        <w:t>id_lote</w:t>
      </w:r>
      <w:r>
        <w:rPr>
          <w:rFonts w:ascii="Calibri" w:eastAsia="Times New Roman" w:hAnsi="Calibri" w:cs="Calibri"/>
          <w:sz w:val="22"/>
          <w:szCs w:val="22"/>
        </w:rPr>
        <w:t>;</w:t>
      </w:r>
    </w:p>
    <w:p w:rsidR="00746284" w:rsidRDefault="0074628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escrituras y crecimiento operativo en 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  <w:sz w:val="22"/>
          <w:szCs w:val="22"/>
        </w:rPr>
        <w:t xml:space="preserve"> y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  <w:sz w:val="22"/>
          <w:szCs w:val="22"/>
        </w:rPr>
        <w:t>;</w:t>
      </w:r>
    </w:p>
    <w:p w:rsidR="00746284" w:rsidRDefault="0074628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sensibilidad del proceso a la concurrencia definida por </w:t>
      </w:r>
      <w:r>
        <w:rPr>
          <w:rStyle w:val="CdigoHTML"/>
        </w:rPr>
        <w:t>WORKERS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746284" w:rsidRDefault="0074628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Evidencia Esperada para Junio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8"/>
        <w:gridCol w:w="6694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46284" w:rsidRDefault="00746284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lastRenderedPageBreak/>
              <w:t>Rubro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46284" w:rsidRDefault="00746284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Evidencia esperada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46284" w:rsidRDefault="0074628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Consultas medidas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46284" w:rsidRDefault="0074628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Tiempo, volumen y contexto de ejecución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46284" w:rsidRDefault="0074628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Índices revisados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46284" w:rsidRDefault="0074628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Estado, uso esperado y observación del mes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46284" w:rsidRDefault="0074628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Comparativos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46284" w:rsidRDefault="0074628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Antes/despué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s o referencia base vs resultado actual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46284" w:rsidRDefault="0074628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Concurrencia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46284" w:rsidRDefault="0074628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Impacto observado por volumen de hilos o presión de escritura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46284" w:rsidRDefault="0074628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Riesgos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46284" w:rsidRDefault="0074628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Degradaciones, cuellos de botella o crecimiento de tablas</w:t>
            </w:r>
          </w:p>
        </w:tc>
      </w:tr>
    </w:tbl>
    <w:p w:rsidR="00746284" w:rsidRDefault="0074628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Secciones a Completar en Junio</w:t>
      </w:r>
    </w:p>
    <w:p w:rsidR="00746284" w:rsidRDefault="0074628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Mediciones del mes</w:t>
      </w:r>
    </w:p>
    <w:p w:rsidR="00746284" w:rsidRDefault="007462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tiempos de respuesta, comportamiento de consultas críticas y cualquier evidencia cuantitativa consolidada al cierre de junio.</w:t>
      </w:r>
    </w:p>
    <w:p w:rsidR="00746284" w:rsidRDefault="0074628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Revisión de índices y planes</w:t>
      </w:r>
    </w:p>
    <w:p w:rsidR="00746284" w:rsidRDefault="007462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si se analizaron í</w:t>
      </w:r>
      <w:r>
        <w:rPr>
          <w:rFonts w:ascii="Calibri" w:hAnsi="Calibri" w:cs="Calibri"/>
          <w:sz w:val="22"/>
          <w:szCs w:val="22"/>
        </w:rPr>
        <w:t>ndices existentes, se propusieron ajustes más precisos o se levantaron planes de ejecución.</w:t>
      </w:r>
    </w:p>
    <w:p w:rsidR="00746284" w:rsidRDefault="0074628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Impacto de concurrencia</w:t>
      </w:r>
    </w:p>
    <w:p w:rsidR="00746284" w:rsidRDefault="007462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si se observaron efectos operativos de la concurrencia sobre lecturas, inserciones, actualizaciones o estabilidad general.</w:t>
      </w:r>
    </w:p>
    <w:p w:rsidR="00746284" w:rsidRDefault="0074628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Riesgos de crecimiento</w:t>
      </w:r>
    </w:p>
    <w:p w:rsidR="00746284" w:rsidRDefault="007462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Documentar crecimiento o presión observada en </w:t>
      </w:r>
      <w:r>
        <w:rPr>
          <w:rStyle w:val="CdigoHTML"/>
        </w:rPr>
        <w:t>Lote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CurpProcesada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BitacoraEvento</w:t>
      </w:r>
      <w:r>
        <w:rPr>
          <w:rFonts w:ascii="Calibri" w:hAnsi="Calibri" w:cs="Calibri"/>
          <w:sz w:val="22"/>
          <w:szCs w:val="22"/>
        </w:rPr>
        <w:t xml:space="preserve"> y demás superficies relevantes.</w:t>
      </w:r>
    </w:p>
    <w:p w:rsidR="00746284" w:rsidRDefault="0074628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Junio</w:t>
      </w:r>
    </w:p>
    <w:p w:rsidR="00746284" w:rsidRDefault="0074628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No contar con comparativos suficientes para sostener conclusiones finales.</w:t>
      </w:r>
    </w:p>
    <w:p w:rsidR="00746284" w:rsidRDefault="0074628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Limitarse a hipótesis sin evidencia cuantitativa consolidada.</w:t>
      </w:r>
    </w:p>
    <w:p w:rsidR="00746284" w:rsidRDefault="0074628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lastRenderedPageBreak/>
        <w:t>Mezclar línea base, evidencia operativa y cierre trimestral sin distinguirlos claramente.</w:t>
      </w:r>
    </w:p>
    <w:p w:rsidR="00746284" w:rsidRDefault="0074628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Próximos Pasos</w:t>
      </w:r>
    </w:p>
    <w:p w:rsidR="00746284" w:rsidRDefault="0074628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resultados comparativos obtenidos en mayo.</w:t>
      </w:r>
    </w:p>
    <w:p w:rsidR="00746284" w:rsidRDefault="0074628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Priorizar optimizaciones que sí cuenten con sustento observable.</w:t>
      </w:r>
    </w:p>
    <w:p w:rsidR="00746284" w:rsidRDefault="0074628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Preparar junio con capacidad de cierre trimestral antes/después.</w:t>
      </w:r>
    </w:p>
    <w:p w:rsidR="00746284" w:rsidRDefault="00746284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6" style="width:0;height:1.5pt" o:hralign="center" o:hrstd="t" o:hr="t" fillcolor="#a0a0a0" stroked="f"/>
        </w:pict>
      </w:r>
    </w:p>
    <w:p w:rsidR="00746284" w:rsidRDefault="007462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:rsidR="00746284" w:rsidRDefault="007462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entregable de junio debe dejar evidencia comparativa consolidada y conclusiones finales del trimestre, manteniendo separadas la línea base de abril y la evidencia operativa de mayo.</w:t>
      </w:r>
    </w:p>
    <w:sectPr w:rsidR="0074628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E6F17"/>
    <w:multiLevelType w:val="multilevel"/>
    <w:tmpl w:val="1EA88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CF7B89"/>
    <w:multiLevelType w:val="multilevel"/>
    <w:tmpl w:val="34B4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7D6496"/>
    <w:multiLevelType w:val="multilevel"/>
    <w:tmpl w:val="51F6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B442A2"/>
    <w:multiLevelType w:val="multilevel"/>
    <w:tmpl w:val="F5881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3320006">
    <w:abstractNumId w:val="0"/>
  </w:num>
  <w:num w:numId="2" w16cid:durableId="291593290">
    <w:abstractNumId w:val="1"/>
  </w:num>
  <w:num w:numId="3" w16cid:durableId="1363629153">
    <w:abstractNumId w:val="2"/>
  </w:num>
  <w:num w:numId="4" w16cid:durableId="18870665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2199"/>
    <w:rsid w:val="001F2199"/>
    <w:rsid w:val="00746284"/>
    <w:rsid w:val="00786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91BF63C-6BAB-4ADA-B4CE-1F76194E1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445</Words>
  <Characters>2452</Characters>
  <Application>Microsoft Office Word</Application>
  <DocSecurity>0</DocSecurity>
  <Lines>20</Lines>
  <Paragraphs>5</Paragraphs>
  <ScaleCrop>false</ScaleCrop>
  <Company/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2026-06-02T00:52:00Z</dcterms:created>
  <dcterms:modified xsi:type="dcterms:W3CDTF">2026-06-02T00:52:00Z</dcterms:modified>
</cp:coreProperties>
</file>