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15B3F" w14:textId="77777777" w:rsidR="00AE75BF" w:rsidRDefault="00AE75BF">
      <w:pPr>
        <w:pStyle w:val="Ttulo1"/>
        <w:rPr>
          <w:rFonts w:ascii="Calibri" w:eastAsia="Times New Roman" w:hAnsi="Calibri" w:cs="Calibri"/>
        </w:rPr>
      </w:pPr>
      <w:r>
        <w:rPr>
          <w:rFonts w:ascii="Calibri" w:eastAsia="Times New Roman" w:hAnsi="Calibri" w:cs="Calibri"/>
        </w:rPr>
        <w:t>Informe de Optimización y Rendimiento de Bases de Datos</w:t>
      </w:r>
    </w:p>
    <w:p w14:paraId="4CD63D41" w14:textId="77777777" w:rsidR="00AE75BF" w:rsidRDefault="00AE75BF">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Junio 2026 </w:t>
      </w:r>
    </w:p>
    <w:p w14:paraId="51F8B763" w14:textId="77777777" w:rsidR="00AE75BF" w:rsidRDefault="00AE75BF">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4DA02376" w14:textId="77777777" w:rsidR="00AE75BF" w:rsidRDefault="00AE75BF">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137D3F2F" w14:textId="77777777" w:rsidR="00AE75BF" w:rsidRDefault="00AE75BF">
      <w:pPr>
        <w:rPr>
          <w:rFonts w:ascii="Calibri" w:eastAsia="Times New Roman" w:hAnsi="Calibri" w:cs="Calibri"/>
          <w:sz w:val="22"/>
          <w:szCs w:val="22"/>
        </w:rPr>
      </w:pPr>
      <w:r>
        <w:rPr>
          <w:rFonts w:ascii="Calibri" w:eastAsia="Times New Roman" w:hAnsi="Calibri" w:cs="Calibri"/>
          <w:sz w:val="22"/>
          <w:szCs w:val="22"/>
        </w:rPr>
        <w:pict w14:anchorId="03980CCA">
          <v:rect id="_x0000_i1025" style="width:0;height:1.5pt" o:hralign="center" o:hrstd="t" o:hr="t" fillcolor="#a0a0a0" stroked="f"/>
        </w:pict>
      </w:r>
    </w:p>
    <w:p w14:paraId="46EDB555" w14:textId="77777777" w:rsidR="00AE75BF" w:rsidRDefault="00AE75BF">
      <w:pPr>
        <w:pStyle w:val="Ttulo2"/>
        <w:rPr>
          <w:rFonts w:ascii="Calibri" w:eastAsia="Times New Roman" w:hAnsi="Calibri" w:cs="Calibri"/>
        </w:rPr>
      </w:pPr>
      <w:r>
        <w:rPr>
          <w:rFonts w:ascii="Calibri" w:eastAsia="Times New Roman" w:hAnsi="Calibri" w:cs="Calibri"/>
        </w:rPr>
        <w:t>1. Objeto del Entregable</w:t>
      </w:r>
    </w:p>
    <w:p w14:paraId="28524DC1" w14:textId="77777777" w:rsidR="00AE75BF" w:rsidRDefault="00AE75BF">
      <w:pPr>
        <w:pStyle w:val="NormalWeb"/>
        <w:rPr>
          <w:rFonts w:ascii="Calibri" w:hAnsi="Calibri" w:cs="Calibri"/>
          <w:sz w:val="22"/>
          <w:szCs w:val="22"/>
        </w:rPr>
      </w:pPr>
      <w:r>
        <w:rPr>
          <w:rFonts w:ascii="Calibri" w:hAnsi="Calibri" w:cs="Calibri"/>
          <w:sz w:val="22"/>
          <w:szCs w:val="22"/>
        </w:rPr>
        <w:t>Documentar los resultados finales del trimestre en materia de optimización de rendimiento y cargas transaccionales hacia bases de datos. Durante junio, el foco resolutivo recayó sobre la Plataforma de Inteligencia Analítica (MUSEMS), remediando cuellos de botella criptográficos que afectaban la validación asíncrona contra Oracle 19c.</w:t>
      </w:r>
    </w:p>
    <w:p w14:paraId="787DB0B6" w14:textId="77777777" w:rsidR="00AE75BF" w:rsidRDefault="00AE75BF">
      <w:pPr>
        <w:pStyle w:val="Ttulo2"/>
        <w:rPr>
          <w:rFonts w:ascii="Calibri" w:eastAsia="Times New Roman" w:hAnsi="Calibri" w:cs="Calibri"/>
        </w:rPr>
      </w:pPr>
      <w:r>
        <w:rPr>
          <w:rFonts w:ascii="Calibri" w:eastAsia="Times New Roman" w:hAnsi="Calibri" w:cs="Calibri"/>
        </w:rPr>
        <w:t>2. Resultados Consolidados de Junio</w:t>
      </w:r>
    </w:p>
    <w:p w14:paraId="08F140E3" w14:textId="77777777" w:rsidR="00AE75BF" w:rsidRDefault="00AE75BF">
      <w:pPr>
        <w:pStyle w:val="Ttulo3"/>
        <w:rPr>
          <w:rFonts w:ascii="Calibri" w:eastAsia="Times New Roman" w:hAnsi="Calibri" w:cs="Calibri"/>
        </w:rPr>
      </w:pPr>
      <w:r>
        <w:rPr>
          <w:rFonts w:ascii="Calibri" w:eastAsia="Times New Roman" w:hAnsi="Calibri" w:cs="Calibri"/>
        </w:rPr>
        <w:t>2.1 Refactorización de Capa de Autenticación (Issue #55)</w:t>
      </w:r>
    </w:p>
    <w:p w14:paraId="2A53073A" w14:textId="77777777" w:rsidR="00AE75BF" w:rsidRDefault="00AE75BF">
      <w:pPr>
        <w:pStyle w:val="NormalWeb"/>
        <w:rPr>
          <w:rFonts w:ascii="Calibri" w:hAnsi="Calibri" w:cs="Calibri"/>
          <w:sz w:val="22"/>
          <w:szCs w:val="22"/>
        </w:rPr>
      </w:pPr>
      <w:r>
        <w:rPr>
          <w:rFonts w:ascii="Calibri" w:hAnsi="Calibri" w:cs="Calibri"/>
          <w:sz w:val="22"/>
          <w:szCs w:val="22"/>
        </w:rPr>
        <w:t xml:space="preserve">Se abordó un problema estructural que amenazaba el rendimiento del sistema en picos de concurrencia. Se eliminó la dependencia obsoleta </w:t>
      </w:r>
      <w:r>
        <w:rPr>
          <w:rStyle w:val="CdigoHTML"/>
        </w:rPr>
        <w:t>passlib</w:t>
      </w:r>
      <w:r>
        <w:rPr>
          <w:rFonts w:ascii="Calibri" w:hAnsi="Calibri" w:cs="Calibri"/>
          <w:sz w:val="22"/>
          <w:szCs w:val="22"/>
        </w:rPr>
        <w:t xml:space="preserve">, la cual incrementaba el procesamiento en CPU al validar credenciales, reemplazándose con el uso directo de </w:t>
      </w:r>
      <w:r>
        <w:rPr>
          <w:rStyle w:val="CdigoHTML"/>
        </w:rPr>
        <w:t>bcrypt</w:t>
      </w:r>
      <w:r>
        <w:rPr>
          <w:rFonts w:ascii="Calibri" w:hAnsi="Calibri" w:cs="Calibri"/>
          <w:sz w:val="22"/>
          <w:szCs w:val="22"/>
        </w:rPr>
        <w:t xml:space="preserve"> nativo. </w:t>
      </w:r>
    </w:p>
    <w:p w14:paraId="4E490FD7" w14:textId="77777777" w:rsidR="00AE75BF" w:rsidRDefault="00AE75BF">
      <w:pPr>
        <w:pStyle w:val="NormalWeb"/>
        <w:rPr>
          <w:rFonts w:ascii="Calibri" w:hAnsi="Calibri" w:cs="Calibri"/>
          <w:sz w:val="22"/>
          <w:szCs w:val="22"/>
        </w:rPr>
      </w:pPr>
      <w:r>
        <w:rPr>
          <w:rFonts w:ascii="Calibri" w:hAnsi="Calibri" w:cs="Calibri"/>
          <w:sz w:val="22"/>
          <w:szCs w:val="22"/>
        </w:rPr>
        <w:t xml:space="preserve">Este ajuste minimizó los ciclos de cómputo en la validación asíncrona de hashes contra los registros de la tabla </w:t>
      </w:r>
      <w:r>
        <w:rPr>
          <w:rStyle w:val="CdigoHTML"/>
        </w:rPr>
        <w:t>CTMU061_USUARIO</w:t>
      </w:r>
      <w:r>
        <w:rPr>
          <w:rFonts w:ascii="Calibri" w:hAnsi="Calibri" w:cs="Calibri"/>
          <w:sz w:val="22"/>
          <w:szCs w:val="22"/>
        </w:rPr>
        <w:t xml:space="preserve"> en la base de datos, garantizando una respuesta eficiente.</w:t>
      </w:r>
    </w:p>
    <w:p w14:paraId="63F187CA" w14:textId="77777777" w:rsidR="00AE75BF" w:rsidRDefault="00AE75BF">
      <w:pPr>
        <w:pStyle w:val="Ttulo3"/>
        <w:rPr>
          <w:rFonts w:ascii="Calibri" w:eastAsia="Times New Roman" w:hAnsi="Calibri" w:cs="Calibri"/>
        </w:rPr>
      </w:pPr>
      <w:r>
        <w:rPr>
          <w:rFonts w:ascii="Calibri" w:eastAsia="Times New Roman" w:hAnsi="Calibri" w:cs="Calibri"/>
        </w:rPr>
        <w:t>2.2 Optimización de Pruebas Unitarias</w:t>
      </w:r>
    </w:p>
    <w:p w14:paraId="43F344AC" w14:textId="77777777" w:rsidR="00AE75BF" w:rsidRDefault="00AE75BF">
      <w:pPr>
        <w:pStyle w:val="NormalWeb"/>
        <w:rPr>
          <w:rFonts w:ascii="Calibri" w:hAnsi="Calibri" w:cs="Calibri"/>
          <w:sz w:val="22"/>
          <w:szCs w:val="22"/>
        </w:rPr>
      </w:pPr>
      <w:r>
        <w:rPr>
          <w:rFonts w:ascii="Calibri" w:hAnsi="Calibri" w:cs="Calibri"/>
          <w:sz w:val="22"/>
          <w:szCs w:val="22"/>
        </w:rPr>
        <w:t xml:space="preserve">Se solucionó una falla crítica en la recolección de pruebas (*collection phase* de </w:t>
      </w:r>
      <w:r>
        <w:rPr>
          <w:rStyle w:val="CdigoHTML"/>
        </w:rPr>
        <w:t>pytest</w:t>
      </w:r>
      <w:r>
        <w:rPr>
          <w:rFonts w:ascii="Calibri" w:hAnsi="Calibri" w:cs="Calibri"/>
          <w:sz w:val="22"/>
          <w:szCs w:val="22"/>
        </w:rPr>
        <w:t>) que mantenía interacciones activas con la base de datos durante la fase de carga estática de los módulos. Al aislar correctamente los módulos de prueba, se liberó estrés innecesario sobre la base de datos Oracle durante los ciclos de CI en desarrollo.</w:t>
      </w:r>
    </w:p>
    <w:p w14:paraId="669E50BA" w14:textId="77777777" w:rsidR="00AE75BF" w:rsidRDefault="00AE75BF">
      <w:pPr>
        <w:pStyle w:val="Ttulo3"/>
        <w:rPr>
          <w:rFonts w:ascii="Calibri" w:eastAsia="Times New Roman" w:hAnsi="Calibri" w:cs="Calibri"/>
        </w:rPr>
      </w:pPr>
      <w:r>
        <w:rPr>
          <w:rFonts w:ascii="Calibri" w:eastAsia="Times New Roman" w:hAnsi="Calibri" w:cs="Calibri"/>
        </w:rPr>
        <w:t>2.3 Resiliencia en Conexión</w:t>
      </w:r>
    </w:p>
    <w:p w14:paraId="628BCC08" w14:textId="77777777" w:rsidR="00AE75BF" w:rsidRDefault="00AE75BF">
      <w:pPr>
        <w:pStyle w:val="NormalWeb"/>
        <w:rPr>
          <w:rFonts w:ascii="Calibri" w:hAnsi="Calibri" w:cs="Calibri"/>
          <w:sz w:val="22"/>
          <w:szCs w:val="22"/>
        </w:rPr>
      </w:pPr>
      <w:r>
        <w:rPr>
          <w:rFonts w:ascii="Calibri" w:hAnsi="Calibri" w:cs="Calibri"/>
          <w:sz w:val="22"/>
          <w:szCs w:val="22"/>
        </w:rPr>
        <w:t xml:space="preserve">La configuración final del *connection pool* de </w:t>
      </w:r>
      <w:r>
        <w:rPr>
          <w:rStyle w:val="CdigoHTML"/>
        </w:rPr>
        <w:t>oracledb</w:t>
      </w:r>
      <w:r>
        <w:rPr>
          <w:rFonts w:ascii="Calibri" w:hAnsi="Calibri" w:cs="Calibri"/>
          <w:sz w:val="22"/>
          <w:szCs w:val="22"/>
        </w:rPr>
        <w:t xml:space="preserve"> fue verificada para el release final (RC1) desplegado en la IP </w:t>
      </w:r>
      <w:r>
        <w:rPr>
          <w:rStyle w:val="CdigoHTML"/>
        </w:rPr>
        <w:t>168.255.101.67:1530/MUSEMSD</w:t>
      </w:r>
      <w:r>
        <w:rPr>
          <w:rFonts w:ascii="Calibri" w:hAnsi="Calibri" w:cs="Calibri"/>
          <w:sz w:val="22"/>
          <w:szCs w:val="22"/>
        </w:rPr>
        <w:t xml:space="preserve">. Se aseguró que el flujo backend gestione </w:t>
      </w:r>
      <w:r>
        <w:rPr>
          <w:rFonts w:ascii="Calibri" w:hAnsi="Calibri" w:cs="Calibri"/>
          <w:sz w:val="22"/>
          <w:szCs w:val="22"/>
        </w:rPr>
        <w:lastRenderedPageBreak/>
        <w:t>el *Thin Mode Pool* sin saturar las sesiones en Oracle, permitiendo transacciones concurrentes seguras y de baja latencia.</w:t>
      </w:r>
    </w:p>
    <w:p w14:paraId="281F2E4B" w14:textId="77777777" w:rsidR="00AE75BF" w:rsidRDefault="00AE75BF">
      <w:pPr>
        <w:pStyle w:val="Ttulo2"/>
        <w:rPr>
          <w:rFonts w:ascii="Calibri" w:eastAsia="Times New Roman" w:hAnsi="Calibri" w:cs="Calibri"/>
        </w:rPr>
      </w:pPr>
      <w:r>
        <w:rPr>
          <w:rFonts w:ascii="Calibri" w:eastAsia="Times New Roman" w:hAnsi="Calibri" w:cs="Calibri"/>
        </w:rPr>
        <w:t>3. Riesgos Remanentes y Conclusiones</w:t>
      </w:r>
    </w:p>
    <w:p w14:paraId="4F3FAF7D" w14:textId="77777777" w:rsidR="00AE75BF" w:rsidRDefault="00AE75BF">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Riesgos Mitigados:</w:t>
      </w:r>
      <w:r>
        <w:rPr>
          <w:rFonts w:ascii="Calibri" w:eastAsia="Times New Roman" w:hAnsi="Calibri" w:cs="Calibri"/>
          <w:sz w:val="22"/>
          <w:szCs w:val="22"/>
        </w:rPr>
        <w:t xml:space="preserve"> El sistema ya no presenta vulnerabilidades de degradación de servicio a nivel de base de datos provocadas por ineficiencias criptográficas. Se ha logrado un rendimiento óptimo en la ruta crítica del *login*.</w:t>
      </w:r>
    </w:p>
    <w:p w14:paraId="593C29BF" w14:textId="77777777" w:rsidR="00AE75BF" w:rsidRDefault="00AE75BF">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Riesgo Operativo Futuro:</w:t>
      </w:r>
      <w:r>
        <w:rPr>
          <w:rFonts w:ascii="Calibri" w:eastAsia="Times New Roman" w:hAnsi="Calibri" w:cs="Calibri"/>
          <w:sz w:val="22"/>
          <w:szCs w:val="22"/>
        </w:rPr>
        <w:t xml:space="preserve"> Como pendiente (Backlog QA), se recomienda ejecutar un </w:t>
      </w:r>
      <w:r>
        <w:rPr>
          <w:rStyle w:val="CdigoHTML"/>
        </w:rPr>
        <w:t>EXPLAIN PLAN</w:t>
      </w:r>
      <w:r>
        <w:rPr>
          <w:rFonts w:ascii="Calibri" w:eastAsia="Times New Roman" w:hAnsi="Calibri" w:cs="Calibri"/>
          <w:sz w:val="22"/>
          <w:szCs w:val="22"/>
        </w:rPr>
        <w:t xml:space="preserve"> en Oracle sobre la vista analítica </w:t>
      </w:r>
      <w:r>
        <w:rPr>
          <w:rStyle w:val="CdigoHTML"/>
        </w:rPr>
        <w:t>VW_BI_MUSEMS_REINSCRIPCIONES</w:t>
      </w:r>
      <w:r>
        <w:rPr>
          <w:rFonts w:ascii="Calibri" w:eastAsia="Times New Roman" w:hAnsi="Calibri" w:cs="Calibri"/>
          <w:sz w:val="22"/>
          <w:szCs w:val="22"/>
        </w:rPr>
        <w:t xml:space="preserve"> en producción para afinar la indexación en caso de observarse lentitud al graficar trayectorias extensas.</w:t>
      </w:r>
    </w:p>
    <w:p w14:paraId="741A6E55" w14:textId="77777777" w:rsidR="00AE75BF" w:rsidRDefault="00AE75BF">
      <w:pPr>
        <w:pStyle w:val="Ttulo2"/>
        <w:rPr>
          <w:rFonts w:ascii="Calibri" w:eastAsia="Times New Roman" w:hAnsi="Calibri" w:cs="Calibri"/>
        </w:rPr>
      </w:pPr>
      <w:r>
        <w:rPr>
          <w:rFonts w:ascii="Calibri" w:eastAsia="Times New Roman" w:hAnsi="Calibri" w:cs="Calibri"/>
        </w:rPr>
        <w:t>4. Próximos Pasos Posteriores a Junio</w:t>
      </w:r>
    </w:p>
    <w:p w14:paraId="3507ACF0" w14:textId="77777777" w:rsidR="00AE75BF" w:rsidRDefault="00AE75B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Monitorear en producción (QA y PROD) los tiempos de respuesta bajo carga viva sobre las vistas analíticas de negocio de MUSEMS.</w:t>
      </w:r>
    </w:p>
    <w:p w14:paraId="028248FC" w14:textId="77777777" w:rsidR="00AE75BF" w:rsidRDefault="00AE75B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Aplicar las estrategias de índices sobre las tablas maestras si se detectan latencias superiores a 1.5 segundos en la interfaz.</w:t>
      </w:r>
    </w:p>
    <w:p w14:paraId="5B369E32" w14:textId="77777777" w:rsidR="00AE75BF" w:rsidRDefault="00AE75BF">
      <w:pPr>
        <w:rPr>
          <w:rFonts w:ascii="Calibri" w:eastAsia="Times New Roman" w:hAnsi="Calibri" w:cs="Calibri"/>
          <w:sz w:val="22"/>
          <w:szCs w:val="22"/>
        </w:rPr>
      </w:pPr>
      <w:r>
        <w:rPr>
          <w:rFonts w:ascii="Calibri" w:eastAsia="Times New Roman" w:hAnsi="Calibri" w:cs="Calibri"/>
          <w:sz w:val="22"/>
          <w:szCs w:val="22"/>
        </w:rPr>
        <w:pict w14:anchorId="7B2F47F8">
          <v:rect id="_x0000_i1026" style="width:0;height:1.5pt" o:hralign="center" o:hrstd="t" o:hr="t" fillcolor="#a0a0a0" stroked="f"/>
        </w:pict>
      </w:r>
    </w:p>
    <w:p w14:paraId="595FDC46" w14:textId="77777777" w:rsidR="00AE75BF" w:rsidRDefault="00AE75BF">
      <w:pPr>
        <w:pStyle w:val="NormalWeb"/>
        <w:rPr>
          <w:rFonts w:ascii="Calibri" w:hAnsi="Calibri" w:cs="Calibri"/>
          <w:sz w:val="22"/>
          <w:szCs w:val="22"/>
        </w:rPr>
      </w:pPr>
      <w:r>
        <w:rPr>
          <w:rStyle w:val="Fuerte"/>
          <w:rFonts w:ascii="Calibri" w:hAnsi="Calibri" w:cs="Calibri"/>
          <w:sz w:val="22"/>
          <w:szCs w:val="22"/>
        </w:rPr>
        <w:t>Comentarios adicionales:</w:t>
      </w:r>
    </w:p>
    <w:p w14:paraId="4D9260CA" w14:textId="77777777" w:rsidR="00AE75BF" w:rsidRDefault="00AE75BF">
      <w:pPr>
        <w:pStyle w:val="NormalWeb"/>
        <w:rPr>
          <w:rFonts w:ascii="Calibri" w:hAnsi="Calibri" w:cs="Calibri"/>
          <w:sz w:val="22"/>
          <w:szCs w:val="22"/>
        </w:rPr>
      </w:pPr>
      <w:r>
        <w:rPr>
          <w:rFonts w:ascii="Calibri" w:hAnsi="Calibri" w:cs="Calibri"/>
          <w:sz w:val="22"/>
          <w:szCs w:val="22"/>
        </w:rPr>
        <w:t>El trimestre se cierra confirmando que la infraestructura de datos en MUSEMS ha sido entregada estable y escalable, eliminando dependencias tóxicas y preservando el performance de lectura y validación.</w:t>
      </w:r>
    </w:p>
    <w:sectPr w:rsidR="00AE75B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63017"/>
    <w:multiLevelType w:val="multilevel"/>
    <w:tmpl w:val="B1FC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B005BB"/>
    <w:multiLevelType w:val="multilevel"/>
    <w:tmpl w:val="08F8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208020">
    <w:abstractNumId w:val="0"/>
  </w:num>
  <w:num w:numId="2" w16cid:durableId="222133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35C77"/>
    <w:rsid w:val="00535C77"/>
    <w:rsid w:val="009D5662"/>
    <w:rsid w:val="00AE75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193A9F"/>
  <w15:chartTrackingRefBased/>
  <w15:docId w15:val="{7A93CF67-AA44-4B34-87A9-ABC45829C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437</Words>
  <Characters>2408</Characters>
  <Application>Microsoft Office Word</Application>
  <DocSecurity>0</DocSecurity>
  <Lines>20</Lines>
  <Paragraphs>5</Paragraphs>
  <ScaleCrop>false</ScaleCrop>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dc:creator>
  <cp:keywords/>
  <dc:description/>
  <cp:lastModifiedBy>Victor Lelo de Larrea</cp:lastModifiedBy>
  <cp:revision>2</cp:revision>
  <dcterms:created xsi:type="dcterms:W3CDTF">2026-06-18T22:05:00Z</dcterms:created>
  <dcterms:modified xsi:type="dcterms:W3CDTF">2026-06-18T22:05:00Z</dcterms:modified>
</cp:coreProperties>
</file>