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D291B" w14:textId="77777777" w:rsidR="0044402D" w:rsidRDefault="0044402D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Mensual de Monitoreo y Alertamiento</w:t>
      </w:r>
    </w:p>
    <w:p w14:paraId="616EC04E" w14:textId="77777777" w:rsidR="0044402D" w:rsidRDefault="0044402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70D465D2" w14:textId="77777777" w:rsidR="0044402D" w:rsidRDefault="0044402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1F53224D" w14:textId="77777777" w:rsidR="0044402D" w:rsidRDefault="0044402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5357A4EF" w14:textId="77777777" w:rsidR="0044402D" w:rsidRDefault="0044402D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5BF1075F">
          <v:rect id="_x0000_i1025" style="width:0;height:1.5pt" o:hralign="center" o:hrstd="t" o:hr="t" fillcolor="#a0a0a0" stroked="f"/>
        </w:pict>
      </w:r>
    </w:p>
    <w:p w14:paraId="645F512B" w14:textId="77777777" w:rsidR="0044402D" w:rsidRDefault="0044402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37B9D17D" w14:textId="77777777" w:rsidR="0044402D" w:rsidRDefault="0044402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los controles de monitoreo preventivo, volumétrico y alertamiento consolidados al cierre del trimestre. Durante el mes de junio, la prioridad se centró en la seguridad perimetral a nivel aplicativo de la plataforma MUSEMS (Issue #56), previniendo ataques de denegación de servicio e inundación.</w:t>
      </w:r>
    </w:p>
    <w:p w14:paraId="6EA66D57" w14:textId="77777777" w:rsidR="0044402D" w:rsidRDefault="0044402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Resultados Consolidados de Junio</w:t>
      </w:r>
    </w:p>
    <w:p w14:paraId="01BDA702" w14:textId="77777777" w:rsidR="0044402D" w:rsidRDefault="0044402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Implementación de Monitoreo Volumétrico (Rate Limiting)</w:t>
      </w:r>
    </w:p>
    <w:p w14:paraId="63BCA9B4" w14:textId="77777777" w:rsidR="0044402D" w:rsidRDefault="0044402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resolver la ausencia de controles en la concurrencia de acceso y autenticación, se instrumentó exitosamente la librería </w:t>
      </w:r>
      <w:r>
        <w:rPr>
          <w:rStyle w:val="CdigoHTML"/>
        </w:rPr>
        <w:t>slowapi</w:t>
      </w:r>
      <w:r>
        <w:rPr>
          <w:rFonts w:ascii="Calibri" w:hAnsi="Calibri" w:cs="Calibri"/>
          <w:sz w:val="22"/>
          <w:szCs w:val="22"/>
        </w:rPr>
        <w:t xml:space="preserve"> en la capa de FastAPI del proyecto MUSEMS. Este componente actúa como un monitor activo que evalúa en tiempo real las ráfagas provenientes de una misma dirección IP origen.</w:t>
      </w:r>
    </w:p>
    <w:p w14:paraId="57C73E26" w14:textId="77777777" w:rsidR="0044402D" w:rsidRDefault="0044402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Configuración de Umbrales</w:t>
      </w:r>
    </w:p>
    <w:p w14:paraId="11A82DE5" w14:textId="77777777" w:rsidR="0044402D" w:rsidRDefault="0044402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Se definió un umbral estricto de </w:t>
      </w:r>
      <w:r>
        <w:rPr>
          <w:rStyle w:val="Fuerte"/>
          <w:rFonts w:ascii="Calibri" w:eastAsia="Times New Roman" w:hAnsi="Calibri" w:cs="Calibri"/>
          <w:sz w:val="22"/>
          <w:szCs w:val="22"/>
        </w:rPr>
        <w:t>5 peticiones por minuto</w:t>
      </w:r>
      <w:r>
        <w:rPr>
          <w:rFonts w:ascii="Calibri" w:eastAsia="Times New Roman" w:hAnsi="Calibri" w:cs="Calibri"/>
          <w:sz w:val="22"/>
          <w:szCs w:val="22"/>
        </w:rPr>
        <w:t xml:space="preserve"> (</w:t>
      </w:r>
      <w:r>
        <w:rPr>
          <w:rStyle w:val="CdigoHTML"/>
        </w:rPr>
        <w:t>5/minute</w:t>
      </w:r>
      <w:r>
        <w:rPr>
          <w:rFonts w:ascii="Calibri" w:eastAsia="Times New Roman" w:hAnsi="Calibri" w:cs="Calibri"/>
          <w:sz w:val="22"/>
          <w:szCs w:val="22"/>
        </w:rPr>
        <w:t xml:space="preserve">) exclusivamente sobre endpoints críticos de negocio: </w:t>
      </w:r>
      <w:r>
        <w:rPr>
          <w:rStyle w:val="CdigoHTML"/>
        </w:rPr>
        <w:t>/login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/forgot-password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/reset-password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7BF567DB" w14:textId="77777777" w:rsidR="0044402D" w:rsidRDefault="0044402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Los flujos analíticos internos operan sin restricciones de umbral, salvaguardando la operatividad general post-inicio de sesión.</w:t>
      </w:r>
    </w:p>
    <w:p w14:paraId="109E2935" w14:textId="77777777" w:rsidR="0044402D" w:rsidRDefault="0044402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Evidencia y Resultados del Monitoreo</w:t>
      </w:r>
    </w:p>
    <w:p w14:paraId="1E9F986B" w14:textId="77777777" w:rsidR="0044402D" w:rsidRDefault="0044402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Durante las pruebas de validación, la herramienta demostró bloquear conexiones abusivas, devolviendo exitosamente el código HTTP de alertamiento </w:t>
      </w:r>
      <w:r>
        <w:rPr>
          <w:rStyle w:val="CdigoHTML"/>
        </w:rPr>
        <w:t>429 Too Many Requests</w:t>
      </w:r>
      <w:r>
        <w:rPr>
          <w:rFonts w:ascii="Calibri" w:hAnsi="Calibri" w:cs="Calibri"/>
          <w:sz w:val="22"/>
          <w:szCs w:val="22"/>
        </w:rPr>
        <w:t xml:space="preserve"> de manera estandarizada y absteniéndose de invocar la carga en la base de datos Oracle, lo cual preservó de facto la resiliencia operativa de la infraestructura backend.</w:t>
      </w:r>
    </w:p>
    <w:p w14:paraId="6BA70341" w14:textId="77777777" w:rsidR="0044402D" w:rsidRDefault="0044402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Manejo de Excepciones y Riesgos</w:t>
      </w:r>
    </w:p>
    <w:p w14:paraId="0134D246" w14:textId="77777777" w:rsidR="0044402D" w:rsidRDefault="0044402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lastRenderedPageBreak/>
        <w:t>Riesgo por Proxies/NAT:</w:t>
      </w:r>
      <w:r>
        <w:rPr>
          <w:rFonts w:ascii="Calibri" w:eastAsia="Times New Roman" w:hAnsi="Calibri" w:cs="Calibri"/>
          <w:sz w:val="22"/>
          <w:szCs w:val="22"/>
        </w:rPr>
        <w:t xml:space="preserve"> Se identificó la posibilidad técnica de falsos positivos en redes con NAT estricto (uso compartido de IP pública). Para mitigarlo, la arquitectura depende de la lectura correcta de la cabecera </w:t>
      </w:r>
      <w:r>
        <w:rPr>
          <w:rStyle w:val="CdigoHTML"/>
        </w:rPr>
        <w:t>X-Forwarded-For</w:t>
      </w:r>
      <w:r>
        <w:rPr>
          <w:rFonts w:ascii="Calibri" w:eastAsia="Times New Roman" w:hAnsi="Calibri" w:cs="Calibri"/>
          <w:sz w:val="22"/>
          <w:szCs w:val="22"/>
        </w:rPr>
        <w:t xml:space="preserve"> o de </w:t>
      </w:r>
      <w:r>
        <w:rPr>
          <w:rStyle w:val="CdigoHTML"/>
        </w:rPr>
        <w:t>ProxyFix</w:t>
      </w:r>
      <w:r>
        <w:rPr>
          <w:rFonts w:ascii="Calibri" w:eastAsia="Times New Roman" w:hAnsi="Calibri" w:cs="Calibri"/>
          <w:sz w:val="22"/>
          <w:szCs w:val="22"/>
        </w:rPr>
        <w:t xml:space="preserve"> a nivel de despliegue productivo.</w:t>
      </w:r>
    </w:p>
    <w:p w14:paraId="62736C11" w14:textId="77777777" w:rsidR="0044402D" w:rsidRDefault="0044402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Testing Continuo:</w:t>
      </w:r>
      <w:r>
        <w:rPr>
          <w:rFonts w:ascii="Calibri" w:eastAsia="Times New Roman" w:hAnsi="Calibri" w:cs="Calibri"/>
          <w:sz w:val="22"/>
          <w:szCs w:val="22"/>
        </w:rPr>
        <w:t xml:space="preserve"> Para no interrumpir los procesos de monitoreo E2E (Smoke Tests con Playwright), se instrumentó a nivel de pipeline una correcta tolerancia a este Rate Limiting asegurando que los bots de test no se automarginen del sistema.</w:t>
      </w:r>
    </w:p>
    <w:p w14:paraId="0105C191" w14:textId="77777777" w:rsidR="0044402D" w:rsidRDefault="0044402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Próximos Pasos Posteriores al Trimestre</w:t>
      </w:r>
    </w:p>
    <w:p w14:paraId="54DF7A24" w14:textId="77777777" w:rsidR="0044402D" w:rsidRDefault="0044402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Analizar los registros (logs) de producción para dimensionar la incidencia de alertas tipo </w:t>
      </w:r>
      <w:r>
        <w:rPr>
          <w:rStyle w:val="CdigoHTML"/>
        </w:rPr>
        <w:t>429</w:t>
      </w:r>
      <w:r>
        <w:rPr>
          <w:rFonts w:ascii="Calibri" w:eastAsia="Times New Roman" w:hAnsi="Calibri" w:cs="Calibri"/>
          <w:sz w:val="22"/>
          <w:szCs w:val="22"/>
        </w:rPr>
        <w:t xml:space="preserve"> generadas por uso real.</w:t>
      </w:r>
    </w:p>
    <w:p w14:paraId="1C5DA633" w14:textId="77777777" w:rsidR="0044402D" w:rsidRDefault="0044402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Validar con el área de operaciones si es requerido conectar este limitador a un almacén de caché distribuido (como Redis) en futuros rediseños o escalados de instancias (pods).</w:t>
      </w:r>
    </w:p>
    <w:p w14:paraId="4FBDBFC7" w14:textId="77777777" w:rsidR="0044402D" w:rsidRDefault="0044402D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48B4A373">
          <v:rect id="_x0000_i1026" style="width:0;height:1.5pt" o:hralign="center" o:hrstd="t" o:hr="t" fillcolor="#a0a0a0" stroked="f"/>
        </w:pict>
      </w:r>
    </w:p>
    <w:p w14:paraId="3D73198C" w14:textId="77777777" w:rsidR="0044402D" w:rsidRDefault="0044402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03A7EB0D" w14:textId="77777777" w:rsidR="0044402D" w:rsidRDefault="0044402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las acciones efectuadas en junio, la organización cierra el trimestre con una madurez sustancial en la detección temprana y mitigación activa de ráfagas anómalas (observabilidad volumétrica), mitigando amenazas del Top 10 de OWASP.</w:t>
      </w:r>
    </w:p>
    <w:sectPr w:rsidR="0044402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B4438"/>
    <w:multiLevelType w:val="multilevel"/>
    <w:tmpl w:val="9C6C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5E294C"/>
    <w:multiLevelType w:val="multilevel"/>
    <w:tmpl w:val="0DEA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1579A1"/>
    <w:multiLevelType w:val="multilevel"/>
    <w:tmpl w:val="CA06E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1316388">
    <w:abstractNumId w:val="2"/>
  </w:num>
  <w:num w:numId="2" w16cid:durableId="1420447309">
    <w:abstractNumId w:val="0"/>
  </w:num>
  <w:num w:numId="3" w16cid:durableId="1171152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A3C"/>
    <w:rsid w:val="003B184D"/>
    <w:rsid w:val="0044402D"/>
    <w:rsid w:val="00E24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8ECD82"/>
  <w15:chartTrackingRefBased/>
  <w15:docId w15:val="{7E34FBE1-9096-4081-BAB4-C2106747F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422</Words>
  <Characters>2323</Characters>
  <Application>Microsoft Office Word</Application>
  <DocSecurity>0</DocSecurity>
  <Lines>19</Lines>
  <Paragraphs>5</Paragraphs>
  <ScaleCrop>false</ScaleCrop>
  <Company/>
  <LinksUpToDate>false</LinksUpToDate>
  <CharactersWithSpaces>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</dc:creator>
  <cp:keywords/>
  <dc:description/>
  <cp:lastModifiedBy>Victor Lelo de Larrea</cp:lastModifiedBy>
  <cp:revision>2</cp:revision>
  <dcterms:created xsi:type="dcterms:W3CDTF">2026-06-18T22:06:00Z</dcterms:created>
  <dcterms:modified xsi:type="dcterms:W3CDTF">2026-06-18T22:06:00Z</dcterms:modified>
</cp:coreProperties>
</file>