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6A5C7" w14:textId="77777777" w:rsidR="005A6EC6" w:rsidRDefault="005A6EC6">
      <w:pPr>
        <w:pStyle w:val="Ttulo1"/>
        <w:rPr>
          <w:rFonts w:ascii="Calibri" w:eastAsia="Times New Roman" w:hAnsi="Calibri" w:cs="Calibri"/>
        </w:rPr>
      </w:pPr>
      <w:r>
        <w:rPr>
          <w:rFonts w:ascii="Calibri" w:eastAsia="Times New Roman" w:hAnsi="Calibri" w:cs="Calibri"/>
        </w:rPr>
        <w:t>Reporte Mensual de Preparación de Datos para IA</w:t>
      </w:r>
    </w:p>
    <w:p w14:paraId="35A29424" w14:textId="77777777" w:rsidR="005A6EC6" w:rsidRDefault="005A6EC6">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Junio 2026 </w:t>
      </w:r>
    </w:p>
    <w:p w14:paraId="391A028B" w14:textId="77777777" w:rsidR="005A6EC6" w:rsidRDefault="005A6EC6">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14:paraId="35E063B1" w14:textId="77777777" w:rsidR="005A6EC6" w:rsidRDefault="005A6EC6">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7C5D44EE" w14:textId="77777777" w:rsidR="005A6EC6" w:rsidRDefault="005A6EC6">
      <w:pPr>
        <w:rPr>
          <w:rFonts w:ascii="Calibri" w:eastAsia="Times New Roman" w:hAnsi="Calibri" w:cs="Calibri"/>
          <w:sz w:val="22"/>
          <w:szCs w:val="22"/>
        </w:rPr>
      </w:pPr>
      <w:r>
        <w:rPr>
          <w:rFonts w:ascii="Calibri" w:eastAsia="Times New Roman" w:hAnsi="Calibri" w:cs="Calibri"/>
          <w:sz w:val="22"/>
          <w:szCs w:val="22"/>
        </w:rPr>
        <w:pict w14:anchorId="4DB7A9E1">
          <v:rect id="_x0000_i1025" style="width:0;height:1.5pt" o:hralign="center" o:hrstd="t" o:hr="t" fillcolor="#a0a0a0" stroked="f"/>
        </w:pict>
      </w:r>
    </w:p>
    <w:p w14:paraId="212A512E" w14:textId="77777777" w:rsidR="005A6EC6" w:rsidRDefault="005A6EC6">
      <w:pPr>
        <w:pStyle w:val="Ttulo2"/>
        <w:rPr>
          <w:rFonts w:ascii="Calibri" w:eastAsia="Times New Roman" w:hAnsi="Calibri" w:cs="Calibri"/>
        </w:rPr>
      </w:pPr>
      <w:r>
        <w:rPr>
          <w:rFonts w:ascii="Calibri" w:eastAsia="Times New Roman" w:hAnsi="Calibri" w:cs="Calibri"/>
        </w:rPr>
        <w:t>1. Objeto del Entregable</w:t>
      </w:r>
    </w:p>
    <w:p w14:paraId="6F7908C8" w14:textId="77777777" w:rsidR="005A6EC6" w:rsidRDefault="005A6EC6">
      <w:pPr>
        <w:pStyle w:val="NormalWeb"/>
        <w:rPr>
          <w:rFonts w:ascii="Calibri" w:hAnsi="Calibri" w:cs="Calibri"/>
          <w:sz w:val="22"/>
          <w:szCs w:val="22"/>
        </w:rPr>
      </w:pPr>
      <w:r>
        <w:rPr>
          <w:rFonts w:ascii="Calibri" w:hAnsi="Calibri" w:cs="Calibri"/>
          <w:sz w:val="22"/>
          <w:szCs w:val="22"/>
        </w:rPr>
        <w:t>Detallar el trabajo correspondiente a junio para la curación y preparación de datos estructurados, garantizando que cumplan con los lineamientos de gobernanza requeridos para la toma de decisiones gerenciales y la potencial explotación mediante algoritmos de inteligencia artificial.</w:t>
      </w:r>
    </w:p>
    <w:p w14:paraId="1152CDE8" w14:textId="77777777" w:rsidR="005A6EC6" w:rsidRDefault="005A6EC6">
      <w:pPr>
        <w:pStyle w:val="Ttulo2"/>
        <w:rPr>
          <w:rFonts w:ascii="Calibri" w:eastAsia="Times New Roman" w:hAnsi="Calibri" w:cs="Calibri"/>
        </w:rPr>
      </w:pPr>
      <w:r>
        <w:rPr>
          <w:rFonts w:ascii="Calibri" w:eastAsia="Times New Roman" w:hAnsi="Calibri" w:cs="Calibri"/>
        </w:rPr>
        <w:t>2. Consolidación de Datos en MUSEMS (Cierre de Trimestre)</w:t>
      </w:r>
    </w:p>
    <w:p w14:paraId="30B1EA77" w14:textId="77777777" w:rsidR="005A6EC6" w:rsidRDefault="005A6EC6">
      <w:pPr>
        <w:pStyle w:val="Ttulo3"/>
        <w:rPr>
          <w:rFonts w:ascii="Calibri" w:eastAsia="Times New Roman" w:hAnsi="Calibri" w:cs="Calibri"/>
        </w:rPr>
      </w:pPr>
      <w:r>
        <w:rPr>
          <w:rFonts w:ascii="Calibri" w:eastAsia="Times New Roman" w:hAnsi="Calibri" w:cs="Calibri"/>
        </w:rPr>
        <w:t>2.1 Conformación de Vistas Analíticas</w:t>
      </w:r>
    </w:p>
    <w:p w14:paraId="347C9F03" w14:textId="77777777" w:rsidR="005A6EC6" w:rsidRDefault="005A6EC6">
      <w:pPr>
        <w:pStyle w:val="NormalWeb"/>
        <w:rPr>
          <w:rFonts w:ascii="Calibri" w:hAnsi="Calibri" w:cs="Calibri"/>
          <w:sz w:val="22"/>
          <w:szCs w:val="22"/>
        </w:rPr>
      </w:pPr>
      <w:r>
        <w:rPr>
          <w:rFonts w:ascii="Calibri" w:hAnsi="Calibri" w:cs="Calibri"/>
          <w:sz w:val="22"/>
          <w:szCs w:val="22"/>
        </w:rPr>
        <w:t xml:space="preserve">Durante el mes, se oficializó el uso del esquema lógico en la base de datos Oracle 19c. Se implementaron vistas analíticas centrales de negocio (e.g., </w:t>
      </w:r>
      <w:r>
        <w:rPr>
          <w:rStyle w:val="CdigoHTML"/>
        </w:rPr>
        <w:t>VW_BI_MUSEMS_REINSCRIPCIONES</w:t>
      </w:r>
      <w:r>
        <w:rPr>
          <w:rFonts w:ascii="Calibri" w:hAnsi="Calibri" w:cs="Calibri"/>
          <w:sz w:val="22"/>
          <w:szCs w:val="22"/>
        </w:rPr>
        <w:t>) las cuales sirven como conducto seguro e indexado para nutrir el frontend, y que fungen como los datasets base estandarizados para el entrenamiento de futuros modelos IA o motores de inferencia.</w:t>
      </w:r>
    </w:p>
    <w:p w14:paraId="2BED1061" w14:textId="77777777" w:rsidR="005A6EC6" w:rsidRDefault="005A6EC6">
      <w:pPr>
        <w:pStyle w:val="Ttulo3"/>
        <w:rPr>
          <w:rFonts w:ascii="Calibri" w:eastAsia="Times New Roman" w:hAnsi="Calibri" w:cs="Calibri"/>
        </w:rPr>
      </w:pPr>
      <w:r>
        <w:rPr>
          <w:rFonts w:ascii="Calibri" w:eastAsia="Times New Roman" w:hAnsi="Calibri" w:cs="Calibri"/>
        </w:rPr>
        <w:t>2.2 Curación y Calidad (Depuración PII)</w:t>
      </w:r>
    </w:p>
    <w:p w14:paraId="409A2E5B" w14:textId="77777777" w:rsidR="005A6EC6" w:rsidRDefault="005A6EC6">
      <w:pPr>
        <w:pStyle w:val="NormalWeb"/>
        <w:rPr>
          <w:rFonts w:ascii="Calibri" w:hAnsi="Calibri" w:cs="Calibri"/>
          <w:sz w:val="22"/>
          <w:szCs w:val="22"/>
        </w:rPr>
      </w:pPr>
      <w:r>
        <w:rPr>
          <w:rFonts w:ascii="Calibri" w:hAnsi="Calibri" w:cs="Calibri"/>
          <w:sz w:val="22"/>
          <w:szCs w:val="22"/>
        </w:rPr>
        <w:t>Se logró un hito trascendental de gobernanza en el manejo de Información de Identificación Personal (PII):</w:t>
      </w:r>
    </w:p>
    <w:p w14:paraId="75F14015" w14:textId="77777777" w:rsidR="005A6EC6" w:rsidRDefault="005A6EC6">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Enmascaramiento Base:</w:t>
      </w:r>
      <w:r>
        <w:rPr>
          <w:rFonts w:ascii="Calibri" w:eastAsia="Times New Roman" w:hAnsi="Calibri" w:cs="Calibri"/>
          <w:sz w:val="22"/>
          <w:szCs w:val="22"/>
        </w:rPr>
        <w:t xml:space="preserve"> La CURP y otra información crítica se extrae y transmite ofuscada hacia la capa de presentación.</w:t>
      </w:r>
    </w:p>
    <w:p w14:paraId="43345C77" w14:textId="77777777" w:rsidR="005A6EC6" w:rsidRDefault="005A6EC6">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Auditoría de Acceso:</w:t>
      </w:r>
      <w:r>
        <w:rPr>
          <w:rFonts w:ascii="Calibri" w:eastAsia="Times New Roman" w:hAnsi="Calibri" w:cs="Calibri"/>
          <w:sz w:val="22"/>
          <w:szCs w:val="22"/>
        </w:rPr>
        <w:t xml:space="preserve"> La acción de desenmascarar datos (función "Mostrar PII") está fuertemente regulada. Cada consulta transparente desencadena un evento inalterable de auditoría dentro de la base de datos (Bitácora de Eventos), permitiendo generar en un futuro métricas de riesgo y comportamiento analítico en el uso de los datos.</w:t>
      </w:r>
    </w:p>
    <w:p w14:paraId="4ACC1E5E" w14:textId="77777777" w:rsidR="005A6EC6" w:rsidRDefault="005A6EC6">
      <w:pPr>
        <w:pStyle w:val="Ttulo3"/>
        <w:rPr>
          <w:rFonts w:ascii="Calibri" w:eastAsia="Times New Roman" w:hAnsi="Calibri" w:cs="Calibri"/>
        </w:rPr>
      </w:pPr>
      <w:r>
        <w:rPr>
          <w:rFonts w:ascii="Calibri" w:eastAsia="Times New Roman" w:hAnsi="Calibri" w:cs="Calibri"/>
        </w:rPr>
        <w:t>2.3 Seguridad de la Información (Hardening Hash)</w:t>
      </w:r>
    </w:p>
    <w:p w14:paraId="13B5CD86" w14:textId="77777777" w:rsidR="005A6EC6" w:rsidRDefault="005A6EC6">
      <w:pPr>
        <w:pStyle w:val="NormalWeb"/>
        <w:rPr>
          <w:rFonts w:ascii="Calibri" w:hAnsi="Calibri" w:cs="Calibri"/>
          <w:sz w:val="22"/>
          <w:szCs w:val="22"/>
        </w:rPr>
      </w:pPr>
      <w:r>
        <w:rPr>
          <w:rFonts w:ascii="Calibri" w:hAnsi="Calibri" w:cs="Calibri"/>
          <w:sz w:val="22"/>
          <w:szCs w:val="22"/>
        </w:rPr>
        <w:lastRenderedPageBreak/>
        <w:t>Se especificaron las reglas para asegurar de forma definitiva el flujo de llaves criptográficas:</w:t>
      </w:r>
    </w:p>
    <w:p w14:paraId="409A4B32" w14:textId="77777777" w:rsidR="005A6EC6" w:rsidRDefault="005A6EC6">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Se instrumentó la viabilidad del uso nativo de </w:t>
      </w:r>
      <w:r>
        <w:rPr>
          <w:rStyle w:val="CdigoHTML"/>
        </w:rPr>
        <w:t>STANDARD_HASH</w:t>
      </w:r>
      <w:r>
        <w:rPr>
          <w:rFonts w:ascii="Calibri" w:eastAsia="Times New Roman" w:hAnsi="Calibri" w:cs="Calibri"/>
          <w:sz w:val="22"/>
          <w:szCs w:val="22"/>
        </w:rPr>
        <w:t xml:space="preserve"> de Oracle acoplado a un </w:t>
      </w:r>
      <w:r>
        <w:rPr>
          <w:rStyle w:val="CdigoHTML"/>
        </w:rPr>
        <w:t>MUSEMS_SALT_2026</w:t>
      </w:r>
      <w:r>
        <w:rPr>
          <w:rFonts w:ascii="Calibri" w:eastAsia="Times New Roman" w:hAnsi="Calibri" w:cs="Calibri"/>
          <w:sz w:val="22"/>
          <w:szCs w:val="22"/>
        </w:rPr>
        <w:t>, afianzando la trazabilidad segura y el anonimato necesario para preparar repositorios de datos masivos seguros (Datasets Anónimos) viables para Modelos de Aprendizaje.</w:t>
      </w:r>
    </w:p>
    <w:p w14:paraId="7A439BDF" w14:textId="77777777" w:rsidR="005A6EC6" w:rsidRDefault="005A6EC6">
      <w:pPr>
        <w:pStyle w:val="Ttulo2"/>
        <w:rPr>
          <w:rFonts w:ascii="Calibri" w:eastAsia="Times New Roman" w:hAnsi="Calibri" w:cs="Calibri"/>
        </w:rPr>
      </w:pPr>
      <w:r>
        <w:rPr>
          <w:rFonts w:ascii="Calibri" w:eastAsia="Times New Roman" w:hAnsi="Calibri" w:cs="Calibri"/>
        </w:rPr>
        <w:t>3. Riesgos y Recomendaciones Remanentes</w:t>
      </w:r>
    </w:p>
    <w:p w14:paraId="0EBFAAA2" w14:textId="77777777" w:rsidR="005A6EC6" w:rsidRDefault="005A6EC6">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Calidad y Completitud:</w:t>
      </w:r>
      <w:r>
        <w:rPr>
          <w:rFonts w:ascii="Calibri" w:eastAsia="Times New Roman" w:hAnsi="Calibri" w:cs="Calibri"/>
          <w:sz w:val="22"/>
          <w:szCs w:val="22"/>
        </w:rPr>
        <w:t xml:space="preserve"> Al cierre del trimestre, permanecen en el Backlog de QA (QA-001 al QA-003) los requerimientos para robustecer las reglas de validación (Rechazar de forma temprana registros de origen que presenten CURP nula o vacía y matrículas que no contengan exactamente los 10 caracteres preestablecidos).</w:t>
      </w:r>
    </w:p>
    <w:p w14:paraId="6A01BCA0" w14:textId="77777777" w:rsidR="005A6EC6" w:rsidRDefault="005A6EC6">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Estas restricciones tempranas (Shift-left en Data Quality) son obligatorias para evitar que información sucia degrade el valor analítico de los modelos proyectados.</w:t>
      </w:r>
    </w:p>
    <w:p w14:paraId="5FAE33AB" w14:textId="77777777" w:rsidR="005A6EC6" w:rsidRDefault="005A6EC6">
      <w:pPr>
        <w:pStyle w:val="Ttulo2"/>
        <w:rPr>
          <w:rFonts w:ascii="Calibri" w:eastAsia="Times New Roman" w:hAnsi="Calibri" w:cs="Calibri"/>
        </w:rPr>
      </w:pPr>
      <w:r>
        <w:rPr>
          <w:rFonts w:ascii="Calibri" w:eastAsia="Times New Roman" w:hAnsi="Calibri" w:cs="Calibri"/>
        </w:rPr>
        <w:t>4. Próximos Pasos (Cierre)</w:t>
      </w:r>
    </w:p>
    <w:p w14:paraId="39011664" w14:textId="77777777" w:rsidR="005A6EC6" w:rsidRDefault="005A6EC6">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Acompañar al equipo de desarrollo entrante en la ejecución de las validaciones Staging (limpieza QA-001 a QA-003) propuestas en el *Handover*.</w:t>
      </w:r>
    </w:p>
    <w:p w14:paraId="79C4CA0C" w14:textId="77777777" w:rsidR="005A6EC6" w:rsidRDefault="005A6EC6">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Fomentar la exportación continua de logs auditables hacia herramientas de Big Data para comenzar a detectar anomalías y correlaciones mediante IA sobre la bitácora operativa.</w:t>
      </w:r>
    </w:p>
    <w:p w14:paraId="0D8838C1" w14:textId="77777777" w:rsidR="005A6EC6" w:rsidRDefault="005A6EC6">
      <w:pPr>
        <w:rPr>
          <w:rFonts w:ascii="Calibri" w:eastAsia="Times New Roman" w:hAnsi="Calibri" w:cs="Calibri"/>
          <w:sz w:val="22"/>
          <w:szCs w:val="22"/>
        </w:rPr>
      </w:pPr>
      <w:r>
        <w:rPr>
          <w:rFonts w:ascii="Calibri" w:eastAsia="Times New Roman" w:hAnsi="Calibri" w:cs="Calibri"/>
          <w:sz w:val="22"/>
          <w:szCs w:val="22"/>
        </w:rPr>
        <w:pict w14:anchorId="19FCFCA6">
          <v:rect id="_x0000_i1026" style="width:0;height:1.5pt" o:hralign="center" o:hrstd="t" o:hr="t" fillcolor="#a0a0a0" stroked="f"/>
        </w:pict>
      </w:r>
    </w:p>
    <w:p w14:paraId="3DF60A79" w14:textId="77777777" w:rsidR="005A6EC6" w:rsidRDefault="005A6EC6">
      <w:pPr>
        <w:pStyle w:val="NormalWeb"/>
        <w:rPr>
          <w:rFonts w:ascii="Calibri" w:hAnsi="Calibri" w:cs="Calibri"/>
          <w:sz w:val="22"/>
          <w:szCs w:val="22"/>
        </w:rPr>
      </w:pPr>
      <w:r>
        <w:rPr>
          <w:rStyle w:val="Fuerte"/>
          <w:rFonts w:ascii="Calibri" w:hAnsi="Calibri" w:cs="Calibri"/>
          <w:sz w:val="22"/>
          <w:szCs w:val="22"/>
        </w:rPr>
        <w:t>Comentarios adicionales:</w:t>
      </w:r>
    </w:p>
    <w:p w14:paraId="22FC8CF0" w14:textId="77777777" w:rsidR="005A6EC6" w:rsidRDefault="005A6EC6">
      <w:pPr>
        <w:pStyle w:val="NormalWeb"/>
        <w:rPr>
          <w:rFonts w:ascii="Calibri" w:hAnsi="Calibri" w:cs="Calibri"/>
          <w:sz w:val="22"/>
          <w:szCs w:val="22"/>
        </w:rPr>
      </w:pPr>
      <w:r>
        <w:rPr>
          <w:rFonts w:ascii="Calibri" w:hAnsi="Calibri" w:cs="Calibri"/>
          <w:sz w:val="22"/>
          <w:szCs w:val="22"/>
        </w:rPr>
        <w:t>Se cierra el trimestre con una base consolidada y estandarizada que separa adecuadamente la información operativa en crudo de los esquemas analíticos depurados y gobernados.</w:t>
      </w:r>
    </w:p>
    <w:sectPr w:rsidR="005A6EC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5338EA"/>
    <w:multiLevelType w:val="multilevel"/>
    <w:tmpl w:val="4BC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FA629B"/>
    <w:multiLevelType w:val="multilevel"/>
    <w:tmpl w:val="28C6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D0D3A54"/>
    <w:multiLevelType w:val="multilevel"/>
    <w:tmpl w:val="C948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EC74BD"/>
    <w:multiLevelType w:val="multilevel"/>
    <w:tmpl w:val="8A54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5515925">
    <w:abstractNumId w:val="2"/>
  </w:num>
  <w:num w:numId="2" w16cid:durableId="1785465073">
    <w:abstractNumId w:val="0"/>
  </w:num>
  <w:num w:numId="3" w16cid:durableId="196741877">
    <w:abstractNumId w:val="1"/>
  </w:num>
  <w:num w:numId="4" w16cid:durableId="15094463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41A50"/>
    <w:rsid w:val="00041A50"/>
    <w:rsid w:val="005A6EC6"/>
    <w:rsid w:val="0069353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734E6A"/>
  <w15:chartTrackingRefBased/>
  <w15:docId w15:val="{C31F3E96-0389-4E85-9A66-C0F7657C0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464</Words>
  <Characters>2554</Characters>
  <Application>Microsoft Office Word</Application>
  <DocSecurity>0</DocSecurity>
  <Lines>21</Lines>
  <Paragraphs>6</Paragraphs>
  <ScaleCrop>false</ScaleCrop>
  <Company/>
  <LinksUpToDate>false</LinksUpToDate>
  <CharactersWithSpaces>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dc:creator>
  <cp:keywords/>
  <dc:description/>
  <cp:lastModifiedBy>Victor Lelo de Larrea</cp:lastModifiedBy>
  <cp:revision>2</cp:revision>
  <dcterms:created xsi:type="dcterms:W3CDTF">2026-06-18T22:06:00Z</dcterms:created>
  <dcterms:modified xsi:type="dcterms:W3CDTF">2026-06-18T22:06:00Z</dcterms:modified>
</cp:coreProperties>
</file>