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AE42" w14:textId="77777777" w:rsidR="007D475E" w:rsidRDefault="007D475E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Informe Mensual de Actividades</w:t>
      </w:r>
    </w:p>
    <w:p w14:paraId="4F98D52B" w14:textId="77777777" w:rsidR="007D475E" w:rsidRDefault="007D475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Junio 2026 </w:t>
      </w:r>
    </w:p>
    <w:p w14:paraId="3536BF7E" w14:textId="77777777" w:rsidR="007D475E" w:rsidRDefault="007D475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105D1BB2" w14:textId="77777777" w:rsidR="007D475E" w:rsidRDefault="007D475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5EFC23C0" w14:textId="77777777" w:rsidR="007D475E" w:rsidRDefault="007D475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8B398ED">
          <v:rect id="_x0000_i1025" style="width:0;height:1.5pt" o:hralign="center" o:hrstd="t" o:hr="t" fillcolor="#a0a0a0" stroked="f"/>
        </w:pict>
      </w:r>
    </w:p>
    <w:p w14:paraId="09F45D69" w14:textId="77777777" w:rsidR="007D475E" w:rsidRDefault="007D475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Resumen Ejecutivo</w:t>
      </w:r>
    </w:p>
    <w:p w14:paraId="7EB044C1" w14:textId="77777777" w:rsidR="007D475E" w:rsidRDefault="007D475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Durante junio de 2026, el trabajo se concentró en consolidar el cierre trimestral de las cinco líneas de trabajo del proyecto. Se ha concluido con la estabilización, el pase a producción y la entrega formal del proyecto principal </w:t>
      </w:r>
      <w:r>
        <w:rPr>
          <w:rStyle w:val="Fuerte"/>
          <w:rFonts w:ascii="Calibri" w:hAnsi="Calibri" w:cs="Calibri"/>
          <w:sz w:val="22"/>
          <w:szCs w:val="22"/>
        </w:rPr>
        <w:t>MUSEMS</w:t>
      </w:r>
      <w:r>
        <w:rPr>
          <w:rFonts w:ascii="Calibri" w:hAnsi="Calibri" w:cs="Calibri"/>
          <w:sz w:val="22"/>
          <w:szCs w:val="22"/>
        </w:rPr>
        <w:t xml:space="preserve"> (Plataforma de Inteligencia Analítica), alcanzando su estado *Release Candidate 1 (RC1)* el 18 de junio, integrado a la rama </w:t>
      </w:r>
      <w:r>
        <w:rPr>
          <w:rStyle w:val="CdigoHTML"/>
        </w:rPr>
        <w:t>main</w:t>
      </w:r>
      <w:r>
        <w:rPr>
          <w:rFonts w:ascii="Calibri" w:hAnsi="Calibri" w:cs="Calibri"/>
          <w:sz w:val="22"/>
          <w:szCs w:val="22"/>
        </w:rPr>
        <w:t xml:space="preserve"> y desplegado en QA.</w:t>
      </w:r>
    </w:p>
    <w:p w14:paraId="4B4AA87B" w14:textId="77777777" w:rsidR="007D475E" w:rsidRDefault="007D475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Respecto al proyecto </w:t>
      </w:r>
      <w:r>
        <w:rPr>
          <w:rStyle w:val="Fuerte"/>
          <w:rFonts w:ascii="Calibri" w:hAnsi="Calibri" w:cs="Calibri"/>
          <w:sz w:val="22"/>
          <w:szCs w:val="22"/>
        </w:rPr>
        <w:t>Vida Saludable (Fase 2)</w:t>
      </w:r>
      <w:r>
        <w:rPr>
          <w:rFonts w:ascii="Calibri" w:hAnsi="Calibri" w:cs="Calibri"/>
          <w:sz w:val="22"/>
          <w:szCs w:val="22"/>
        </w:rPr>
        <w:t xml:space="preserve">, su línea base quedó cerrada y validada en mayo tras la pausa declarada, manteniendo el estado de infraestructura y migración listos para cuando se decida su reinicio operativo. </w:t>
      </w:r>
    </w:p>
    <w:p w14:paraId="0A2E6701" w14:textId="77777777" w:rsidR="007D475E" w:rsidRDefault="007D475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presente informe consolida los resultados observados, las remediaciones de seguridad estructurales implementadas y el establecimiento de pipelines DevSecOps para la verificación técnica, asegurando el cumplimiento de los hitos trimestrales.</w:t>
      </w:r>
    </w:p>
    <w:p w14:paraId="31324F8E" w14:textId="77777777" w:rsidR="007D475E" w:rsidRDefault="007D475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Consolidación del Trimestre (Abril - Junio)</w:t>
      </w:r>
    </w:p>
    <w:p w14:paraId="7222CB48" w14:textId="77777777" w:rsidR="007D475E" w:rsidRDefault="007D475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Proyecto Vida Saludable</w:t>
      </w:r>
    </w:p>
    <w:p w14:paraId="3BDD7B0C" w14:textId="77777777" w:rsidR="007D475E" w:rsidRDefault="007D475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Cierre Trimestral:</w:t>
      </w:r>
      <w:r>
        <w:rPr>
          <w:rFonts w:ascii="Calibri" w:eastAsia="Times New Roman" w:hAnsi="Calibri" w:cs="Calibri"/>
          <w:sz w:val="22"/>
          <w:szCs w:val="22"/>
        </w:rPr>
        <w:t xml:space="preserve"> El proyecto entró en pausa indefinida el 29 de abril de 2026 con un estado exitoso ("Migración Validada", "Documentación Completa", "Infraestructura Lista"). </w:t>
      </w:r>
    </w:p>
    <w:p w14:paraId="3AC658CC" w14:textId="77777777" w:rsidR="007D475E" w:rsidRDefault="007D475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Resultados Consolidados:</w:t>
      </w:r>
      <w:r>
        <w:rPr>
          <w:rFonts w:ascii="Calibri" w:eastAsia="Times New Roman" w:hAnsi="Calibri" w:cs="Calibri"/>
          <w:sz w:val="22"/>
          <w:szCs w:val="22"/>
        </w:rPr>
        <w:t xml:space="preserve"> La arquitectura backend (FastAPI + pg8000 + SFTP Key-based Auth) y el frontend (Angular 18) quedaron funcionales y testeados. El modelo de datos (DDL) en PostgreSQL 14 fue validado para los flujos de IMSS.</w:t>
      </w:r>
    </w:p>
    <w:p w14:paraId="664950FD" w14:textId="77777777" w:rsidR="007D475E" w:rsidRDefault="007D475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Recomendación Final:</w:t>
      </w:r>
      <w:r>
        <w:rPr>
          <w:rFonts w:ascii="Calibri" w:eastAsia="Times New Roman" w:hAnsi="Calibri" w:cs="Calibri"/>
          <w:sz w:val="22"/>
          <w:szCs w:val="22"/>
        </w:rPr>
        <w:t xml:space="preserve"> Quedan preparadas las tareas para el reinicio: apertura formal de PR a </w:t>
      </w:r>
      <w:r>
        <w:rPr>
          <w:rStyle w:val="CdigoHTML"/>
        </w:rPr>
        <w:t>master</w:t>
      </w:r>
      <w:r>
        <w:rPr>
          <w:rFonts w:ascii="Calibri" w:eastAsia="Times New Roman" w:hAnsi="Calibri" w:cs="Calibri"/>
          <w:sz w:val="22"/>
          <w:szCs w:val="22"/>
        </w:rPr>
        <w:t>, y el Sprint 1 de Construcción para la validación funcional de layouts con área médica.</w:t>
      </w:r>
    </w:p>
    <w:p w14:paraId="25B4F3AC" w14:textId="77777777" w:rsidR="007D475E" w:rsidRDefault="007D475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Rendimiento de bases de datos y backend</w:t>
      </w:r>
    </w:p>
    <w:p w14:paraId="29F4C755" w14:textId="77777777" w:rsidR="007D475E" w:rsidRDefault="007D475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Cierre Trimestral:</w:t>
      </w:r>
      <w:r>
        <w:rPr>
          <w:rFonts w:ascii="Calibri" w:eastAsia="Times New Roman" w:hAnsi="Calibri" w:cs="Calibri"/>
          <w:sz w:val="22"/>
          <w:szCs w:val="22"/>
        </w:rPr>
        <w:t xml:space="preserve"> En el proyecto MUSEMS, se optimizó radicalmente el ciclo de validación de identidad. Se erradicó la dependencia obsoleta </w:t>
      </w:r>
      <w:r>
        <w:rPr>
          <w:rStyle w:val="CdigoHTML"/>
        </w:rPr>
        <w:t>passlib</w:t>
      </w:r>
      <w:r>
        <w:rPr>
          <w:rFonts w:ascii="Calibri" w:eastAsia="Times New Roman" w:hAnsi="Calibri" w:cs="Calibri"/>
          <w:sz w:val="22"/>
          <w:szCs w:val="22"/>
        </w:rPr>
        <w:t xml:space="preserve"> a favor de </w:t>
      </w:r>
      <w:r>
        <w:rPr>
          <w:rStyle w:val="CdigoHTML"/>
        </w:rPr>
        <w:t>bcrypt</w:t>
      </w:r>
      <w:r>
        <w:rPr>
          <w:rFonts w:ascii="Calibri" w:eastAsia="Times New Roman" w:hAnsi="Calibri" w:cs="Calibri"/>
          <w:sz w:val="22"/>
          <w:szCs w:val="22"/>
        </w:rPr>
        <w:t xml:space="preserve"> nativo </w:t>
      </w:r>
      <w:r>
        <w:rPr>
          <w:rFonts w:ascii="Calibri" w:eastAsia="Times New Roman" w:hAnsi="Calibri" w:cs="Calibri"/>
          <w:sz w:val="22"/>
          <w:szCs w:val="22"/>
        </w:rPr>
        <w:lastRenderedPageBreak/>
        <w:t>(Issue #55), resolviendo fallas de colección de pruebas y optimizando la carga asíncrona hacia la base Oracle 19c.</w:t>
      </w:r>
    </w:p>
    <w:p w14:paraId="2E8FC40C" w14:textId="77777777" w:rsidR="007D475E" w:rsidRDefault="007D475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Riesgo Mitigado:</w:t>
      </w:r>
      <w:r>
        <w:rPr>
          <w:rFonts w:ascii="Calibri" w:eastAsia="Times New Roman" w:hAnsi="Calibri" w:cs="Calibri"/>
          <w:sz w:val="22"/>
          <w:szCs w:val="22"/>
        </w:rPr>
        <w:t xml:space="preserve"> Se redujo drásticamente la exposición a ataques de denegación de servicio (DoS) por carga criptográfica excesiva durante el *login*.</w:t>
      </w:r>
    </w:p>
    <w:p w14:paraId="5C60D4BA" w14:textId="77777777" w:rsidR="007D475E" w:rsidRDefault="007D475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Monitoreo y alertamiento (Rate Limiting)</w:t>
      </w:r>
    </w:p>
    <w:p w14:paraId="09CDD1A5" w14:textId="77777777" w:rsidR="007D475E" w:rsidRDefault="007D475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Cierre Trimestral:</w:t>
      </w:r>
      <w:r>
        <w:rPr>
          <w:rFonts w:ascii="Calibri" w:eastAsia="Times New Roman" w:hAnsi="Calibri" w:cs="Calibri"/>
          <w:sz w:val="22"/>
          <w:szCs w:val="22"/>
        </w:rPr>
        <w:t xml:space="preserve"> Ante el riesgo volumétrico, se adoptó y configuró la librería </w:t>
      </w:r>
      <w:r>
        <w:rPr>
          <w:rStyle w:val="CdigoHTML"/>
        </w:rPr>
        <w:t>slowapi</w:t>
      </w:r>
      <w:r>
        <w:rPr>
          <w:rFonts w:ascii="Calibri" w:eastAsia="Times New Roman" w:hAnsi="Calibri" w:cs="Calibri"/>
          <w:sz w:val="22"/>
          <w:szCs w:val="22"/>
        </w:rPr>
        <w:t xml:space="preserve"> en la capa de FastAPI de MUSEMS (Issue #56) como un limitador estricto para rutas de autenticación.</w:t>
      </w:r>
    </w:p>
    <w:p w14:paraId="37F053E6" w14:textId="77777777" w:rsidR="007D475E" w:rsidRDefault="007D475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Umbrales Aplicados:</w:t>
      </w:r>
      <w:r>
        <w:rPr>
          <w:rFonts w:ascii="Calibri" w:eastAsia="Times New Roman" w:hAnsi="Calibri" w:cs="Calibri"/>
          <w:sz w:val="22"/>
          <w:szCs w:val="22"/>
        </w:rPr>
        <w:t xml:space="preserve"> Se configuró un máximo de 5 peticiones por minuto por IP origen en </w:t>
      </w:r>
      <w:r>
        <w:rPr>
          <w:rStyle w:val="CdigoHTML"/>
        </w:rPr>
        <w:t>/login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/forgot-password</w:t>
      </w:r>
      <w:r>
        <w:rPr>
          <w:rFonts w:ascii="Calibri" w:eastAsia="Times New Roman" w:hAnsi="Calibri" w:cs="Calibri"/>
          <w:sz w:val="22"/>
          <w:szCs w:val="22"/>
        </w:rPr>
        <w:t xml:space="preserve">, rechazando subsecuentes solicitudes con </w:t>
      </w:r>
      <w:r>
        <w:rPr>
          <w:rStyle w:val="CdigoHTML"/>
        </w:rPr>
        <w:t>HTTP 429 Too Many Requests</w:t>
      </w:r>
      <w:r>
        <w:rPr>
          <w:rFonts w:ascii="Calibri" w:eastAsia="Times New Roman" w:hAnsi="Calibri" w:cs="Calibri"/>
          <w:sz w:val="22"/>
          <w:szCs w:val="22"/>
        </w:rPr>
        <w:t xml:space="preserve"> protegiendo así los recursos del sistema.</w:t>
      </w:r>
    </w:p>
    <w:p w14:paraId="19CF77CC" w14:textId="77777777" w:rsidR="007D475E" w:rsidRDefault="007D475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Preparación de datos para Inteligencia Analítica (MUSEMS)</w:t>
      </w:r>
    </w:p>
    <w:p w14:paraId="47338D66" w14:textId="77777777" w:rsidR="007D475E" w:rsidRDefault="007D475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Cierre Trimestral:</w:t>
      </w:r>
      <w:r>
        <w:rPr>
          <w:rFonts w:ascii="Calibri" w:eastAsia="Times New Roman" w:hAnsi="Calibri" w:cs="Calibri"/>
          <w:sz w:val="22"/>
          <w:szCs w:val="22"/>
        </w:rPr>
        <w:t xml:space="preserve"> La plataforma MUSEMS fue entregada satisfactoriamente con la construcción de las *Vistas Analíticas* (e.g. </w:t>
      </w:r>
      <w:r>
        <w:rPr>
          <w:rStyle w:val="CdigoHTML"/>
        </w:rPr>
        <w:t>VW_BI_MUSEMS_REINSCRIPCIONES</w:t>
      </w:r>
      <w:r>
        <w:rPr>
          <w:rFonts w:ascii="Calibri" w:eastAsia="Times New Roman" w:hAnsi="Calibri" w:cs="Calibri"/>
          <w:sz w:val="22"/>
          <w:szCs w:val="22"/>
        </w:rPr>
        <w:t xml:space="preserve">) en Oracle. </w:t>
      </w:r>
    </w:p>
    <w:p w14:paraId="1FC4560D" w14:textId="77777777" w:rsidR="007D475E" w:rsidRDefault="007D475E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Protección PII:</w:t>
      </w:r>
      <w:r>
        <w:rPr>
          <w:rFonts w:ascii="Calibri" w:eastAsia="Times New Roman" w:hAnsi="Calibri" w:cs="Calibri"/>
          <w:sz w:val="22"/>
          <w:szCs w:val="22"/>
        </w:rPr>
        <w:t xml:space="preserve"> Se consolidó la gobernanza de datos enmascarando de inicio la CURP de los estudiantes en la interfaz y registrando en una bitácora técnica de base de datos cualquier desenmascaramiento explícito. </w:t>
      </w:r>
    </w:p>
    <w:p w14:paraId="4A25FBF3" w14:textId="77777777" w:rsidR="007D475E" w:rsidRDefault="007D475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Integración Continua y Calidad (DevSecOps - ETL del CI)</w:t>
      </w:r>
    </w:p>
    <w:p w14:paraId="2E3F8134" w14:textId="77777777" w:rsidR="007D475E" w:rsidRDefault="007D475E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Cierre Trimestral:</w:t>
      </w:r>
      <w:r>
        <w:rPr>
          <w:rFonts w:ascii="Calibri" w:eastAsia="Times New Roman" w:hAnsi="Calibri" w:cs="Calibri"/>
          <w:sz w:val="22"/>
          <w:szCs w:val="22"/>
        </w:rPr>
        <w:t xml:space="preserve"> Se consolidó </w:t>
      </w:r>
      <w:r>
        <w:rPr>
          <w:rFonts w:ascii="Calibri" w:eastAsia="Times New Roman" w:hAnsi="Calibri" w:cs="Calibri"/>
          <w:sz w:val="22"/>
          <w:szCs w:val="22"/>
        </w:rPr>
        <w:t>el ciclo de vida del desarrollo asegurado (Secure SDLC) en MUSEMS (Issue #57) con un pipeline de GitHub Actions (</w:t>
      </w:r>
      <w:r>
        <w:rPr>
          <w:rStyle w:val="CdigoHTML"/>
        </w:rPr>
        <w:t>security-ci.yml</w:t>
      </w:r>
      <w:r>
        <w:rPr>
          <w:rFonts w:ascii="Calibri" w:eastAsia="Times New Roman" w:hAnsi="Calibri" w:cs="Calibri"/>
          <w:sz w:val="22"/>
          <w:szCs w:val="22"/>
        </w:rPr>
        <w:t>) que actúa como barrera de código.</w:t>
      </w:r>
    </w:p>
    <w:p w14:paraId="554C7F42" w14:textId="77777777" w:rsidR="007D475E" w:rsidRDefault="007D475E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Herramientas Implementadas:</w:t>
      </w:r>
      <w:r>
        <w:rPr>
          <w:rFonts w:ascii="Calibri" w:eastAsia="Times New Roman" w:hAnsi="Calibri" w:cs="Calibri"/>
          <w:sz w:val="22"/>
          <w:szCs w:val="22"/>
        </w:rPr>
        <w:t xml:space="preserve"> SAST (Static Application Security Testing) mediante </w:t>
      </w:r>
      <w:r>
        <w:rPr>
          <w:rStyle w:val="CdigoHTML"/>
        </w:rPr>
        <w:t>bandit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semgrep</w:t>
      </w:r>
      <w:r>
        <w:rPr>
          <w:rFonts w:ascii="Calibri" w:eastAsia="Times New Roman" w:hAnsi="Calibri" w:cs="Calibri"/>
          <w:sz w:val="22"/>
          <w:szCs w:val="22"/>
        </w:rPr>
        <w:t xml:space="preserve">; SCA (Software Composition Analysis) usando </w:t>
      </w:r>
      <w:r>
        <w:rPr>
          <w:rStyle w:val="CdigoHTML"/>
        </w:rPr>
        <w:t>pip-audit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npm audit</w:t>
      </w:r>
      <w:r>
        <w:rPr>
          <w:rFonts w:ascii="Calibri" w:eastAsia="Times New Roman" w:hAnsi="Calibri" w:cs="Calibri"/>
          <w:sz w:val="22"/>
          <w:szCs w:val="22"/>
        </w:rPr>
        <w:t>, asegurando de manera automatizada la resiliencia del software entregado.</w:t>
      </w:r>
    </w:p>
    <w:p w14:paraId="72BAD8DF" w14:textId="77777777" w:rsidR="007D475E" w:rsidRDefault="007D475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Reuniones y Acuerdos del Mes</w:t>
      </w:r>
    </w:p>
    <w:p w14:paraId="051ED14F" w14:textId="77777777" w:rsidR="007D475E" w:rsidRDefault="007D475E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2026-06-18: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Entrega formal (Handover) de la Plataforma de Inteligencia Analítica MUSEMS a la Dirección de Inteligencia Analítica / Equipo de Ingeniería y QA de la SEP.</w:t>
      </w:r>
    </w:p>
    <w:p w14:paraId="0A508591" w14:textId="77777777" w:rsidR="007D475E" w:rsidRDefault="007D475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Dificultades y Retos Resueltos</w:t>
      </w:r>
    </w:p>
    <w:p w14:paraId="4E20B230" w14:textId="77777777" w:rsidR="007D475E" w:rsidRDefault="007D475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Transición ágil de un enfoque de revisión puramente manual de vulnerabilidades a un pipeline 100% estricto con bloqueos (</w:t>
      </w:r>
      <w:r>
        <w:rPr>
          <w:rStyle w:val="CdigoHTML"/>
        </w:rPr>
        <w:t>exit 1</w:t>
      </w:r>
      <w:r>
        <w:rPr>
          <w:rFonts w:ascii="Calibri" w:eastAsia="Times New Roman" w:hAnsi="Calibri" w:cs="Calibri"/>
          <w:sz w:val="22"/>
          <w:szCs w:val="22"/>
        </w:rPr>
        <w:t>) en PRs cuando ocurren fallas críticas, madurando la cultura DevOps del equipo sin detener la velocidad de entregas en MUSEMS.</w:t>
      </w:r>
    </w:p>
    <w:p w14:paraId="5760C336" w14:textId="77777777" w:rsidR="007D475E" w:rsidRDefault="007D475E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Manejo proactivo de falsos positivos en Rate Limiting (slowapi) considerando arquitecturas con Carrier-grade NAT.</w:t>
      </w:r>
    </w:p>
    <w:p w14:paraId="362DDE69" w14:textId="77777777" w:rsidR="007D475E" w:rsidRDefault="007D475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Próximos Pasos Posteriores a Junio</w:t>
      </w:r>
    </w:p>
    <w:p w14:paraId="18BA3C49" w14:textId="77777777" w:rsidR="007D475E" w:rsidRDefault="007D475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Reiniciar las actividades operativas del proyecto *Vida Saludable* en cuanto la dirección lo determine, ejecutando los Sprints 1 y 2 planificados.</w:t>
      </w:r>
    </w:p>
    <w:p w14:paraId="3BA783B4" w14:textId="77777777" w:rsidR="007D475E" w:rsidRDefault="007D475E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Mantener y dar soporte a los pases a producción de MUSEMS, monitoreando el comportamiento real de los *Rate Limiters* con usuarios concurrentes de la SEP.</w:t>
      </w:r>
    </w:p>
    <w:p w14:paraId="2474594C" w14:textId="77777777" w:rsidR="007D475E" w:rsidRDefault="007D475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CFEA49F">
          <v:rect id="_x0000_i1026" style="width:0;height:1.5pt" o:hralign="center" o:hrstd="t" o:hr="t" fillcolor="#a0a0a0" stroked="f"/>
        </w:pict>
      </w:r>
    </w:p>
    <w:p w14:paraId="1E928856" w14:textId="77777777" w:rsidR="007D475E" w:rsidRDefault="007D475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768508E8" w14:textId="77777777" w:rsidR="007D475E" w:rsidRDefault="007D475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periodo culmina de forma satisfactoria entregando componentes reales, testeados, y mitigando exitosamente las principales vulnerabilidades OWASP detectadas. El cumplimiento contractual por líneas de trabajo se encuentra 100% evidenciado a nivel técnico.</w:t>
      </w:r>
    </w:p>
    <w:sectPr w:rsidR="007D47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02B8"/>
    <w:multiLevelType w:val="multilevel"/>
    <w:tmpl w:val="E94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62ECC"/>
    <w:multiLevelType w:val="multilevel"/>
    <w:tmpl w:val="2CC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E6860"/>
    <w:multiLevelType w:val="multilevel"/>
    <w:tmpl w:val="E7D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F2987"/>
    <w:multiLevelType w:val="multilevel"/>
    <w:tmpl w:val="25FA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04D07"/>
    <w:multiLevelType w:val="multilevel"/>
    <w:tmpl w:val="932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97E04"/>
    <w:multiLevelType w:val="multilevel"/>
    <w:tmpl w:val="7B7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936D8"/>
    <w:multiLevelType w:val="multilevel"/>
    <w:tmpl w:val="8DCA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47FCD"/>
    <w:multiLevelType w:val="multilevel"/>
    <w:tmpl w:val="53C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599194">
    <w:abstractNumId w:val="3"/>
  </w:num>
  <w:num w:numId="2" w16cid:durableId="1031222111">
    <w:abstractNumId w:val="1"/>
  </w:num>
  <w:num w:numId="3" w16cid:durableId="1209610088">
    <w:abstractNumId w:val="5"/>
  </w:num>
  <w:num w:numId="4" w16cid:durableId="741098889">
    <w:abstractNumId w:val="6"/>
  </w:num>
  <w:num w:numId="5" w16cid:durableId="830216383">
    <w:abstractNumId w:val="4"/>
  </w:num>
  <w:num w:numId="6" w16cid:durableId="993293686">
    <w:abstractNumId w:val="0"/>
  </w:num>
  <w:num w:numId="7" w16cid:durableId="1559826707">
    <w:abstractNumId w:val="7"/>
  </w:num>
  <w:num w:numId="8" w16cid:durableId="1938370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E0"/>
    <w:rsid w:val="007D475E"/>
    <w:rsid w:val="007D78AC"/>
    <w:rsid w:val="0098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A52BF6"/>
  <w15:chartTrackingRefBased/>
  <w15:docId w15:val="{7AC8A0BE-1576-4C84-A6E6-75EE781C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736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</dc:creator>
  <cp:keywords/>
  <dc:description/>
  <cp:lastModifiedBy>Victor Lelo de Larrea</cp:lastModifiedBy>
  <cp:revision>2</cp:revision>
  <dcterms:created xsi:type="dcterms:W3CDTF">2026-06-18T22:05:00Z</dcterms:created>
  <dcterms:modified xsi:type="dcterms:W3CDTF">2026-06-18T22:05:00Z</dcterms:modified>
</cp:coreProperties>
</file>