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19A80" w14:textId="77777777" w:rsidR="003805E8" w:rsidRDefault="003805E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Extendida de Entrega, Inventario Técnico y Cierre Trimestral (Master Handover)</w:t>
      </w:r>
    </w:p>
    <w:p w14:paraId="59B0F46B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Cierre: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49D977E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5CC9A8D2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3F5E576E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214CFA51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Auditoría Gubernamental CMMI Nivel 3 </w:t>
      </w:r>
    </w:p>
    <w:p w14:paraId="212BC9B9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1B2473">
          <v:rect id="_x0000_i1025" style="width:0;height:1.5pt" o:hralign="center" o:hrstd="t" o:hr="t" fillcolor="#a0a0a0" stroked="f"/>
        </w:pict>
      </w:r>
    </w:p>
    <w:p w14:paraId="27E67EF2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 Cierre y Transferencia Integral (Handover)</w:t>
      </w:r>
    </w:p>
    <w:p w14:paraId="50A0E15B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no constituye únicamente un reporte de avance mensual, sino que opera como el </w:t>
      </w:r>
      <w:r>
        <w:rPr>
          <w:rStyle w:val="Fuerte"/>
          <w:rFonts w:ascii="Calibri" w:hAnsi="Calibri" w:cs="Calibri"/>
          <w:sz w:val="22"/>
          <w:szCs w:val="22"/>
        </w:rPr>
        <w:t>Acta Definitiva de Cierre (Master Handover)</w:t>
      </w:r>
      <w:r>
        <w:rPr>
          <w:rFonts w:ascii="Calibri" w:hAnsi="Calibri" w:cs="Calibri"/>
          <w:sz w:val="22"/>
          <w:szCs w:val="22"/>
        </w:rPr>
        <w:t xml:space="preserve"> de los trabajos de consultoría técnica efectuados bajo mi responsabilidad durante el último trimestre. Su propósito fundamental es acreditar la transferencia legal, tecnológica y de conocimientos sobre dos proyectos de misión crítica para la Secretaría de Educación Pública (SEP):</w:t>
      </w:r>
    </w:p>
    <w:p w14:paraId="46F238EC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La Plataforma de Inteligencia Analítica MUSEMS-PU</w:t>
      </w:r>
    </w:p>
    <w:p w14:paraId="557E9FE8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El Sistema Orquestador de Descargas de Vida Saludable (Fase 2)</w:t>
      </w:r>
    </w:p>
    <w:p w14:paraId="75C96FE1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2026, la máxima prioridad fue consolidar el estado del arte tecnológico en ambas soluciones, garantizando no solo su operatividad y despliegue exitoso (alcanzando su etapa formal *Release Candidate 1*), sino blindando su cumplimiento absoluto frente a normativas gubernamentales de ciberseguridad, protección de datos personales (LGPDPPSO) y mantenibilidad institucional (DevSecOps). Se entregan sistemas estables, resilientes y documentados a nivel forense.</w:t>
      </w:r>
    </w:p>
    <w:p w14:paraId="4BD5FA75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5236E1">
          <v:rect id="_x0000_i1026" style="width:0;height:1.5pt" o:hralign="center" o:hrstd="t" o:hr="t" fillcolor="#a0a0a0" stroked="f"/>
        </w:pict>
      </w:r>
    </w:p>
    <w:p w14:paraId="6AF62DBF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Visión Arquitectónica y Topología General Transferida</w:t>
      </w:r>
    </w:p>
    <w:p w14:paraId="0145F107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Ambos ecosistemas fueron rediseñados y migrados desde arquitecturas monolíticas o dispersas hacia topologías orientadas a microservicios e integraciones asíncronas modernas. A continuación, se detalla la herencia estructural que se cede a la institución.</w:t>
      </w:r>
    </w:p>
    <w:p w14:paraId="733C37BC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Ecosistema de Inteligencia Analítica (MUSEMS-PU)</w:t>
      </w:r>
    </w:p>
    <w:p w14:paraId="68332F37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0EA74965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460C3132" wp14:editId="5CC81C29">
            <wp:extent cx="4465320" cy="86410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75732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Principios Estructurales Aprobados y Entregados:</w:t>
      </w:r>
    </w:p>
    <w:p w14:paraId="0E98F927" w14:textId="77777777" w:rsidR="003805E8" w:rsidRDefault="003805E8" w:rsidP="003805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Segregación de Capas:</w:t>
      </w:r>
      <w:r>
        <w:rPr>
          <w:rFonts w:ascii="Calibri" w:eastAsia="Times New Roman" w:hAnsi="Calibri" w:cs="Calibri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1D9AF46F" w14:textId="77777777" w:rsidR="003805E8" w:rsidRDefault="003805E8" w:rsidP="003805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Conexiones:</w:t>
      </w:r>
      <w:r>
        <w:rPr>
          <w:rFonts w:ascii="Calibri" w:eastAsia="Times New Roman" w:hAnsi="Calibri" w:cs="Calibri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5CA000B1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Motor Orquestador Asíncrono (Vida Saludable Fase 2)</w:t>
      </w:r>
    </w:p>
    <w:p w14:paraId="01477340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heredado (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) ha sido transmutado hacia una arquitectura orquestada y "Zero Persistence", mitigando el almacenamiento indebido de PII.</w:t>
      </w:r>
    </w:p>
    <w:p w14:paraId="2D1D15C6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3ED384D" wp14:editId="3E958890">
            <wp:extent cx="17282160" cy="2743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21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91742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102D2D">
          <v:rect id="_x0000_i1027" style="width:0;height:1.5pt" o:hralign="center" o:hrstd="t" o:hr="t" fillcolor="#a0a0a0" stroked="f"/>
        </w:pict>
      </w:r>
    </w:p>
    <w:p w14:paraId="565E2B82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Resolución de Auditorías y Cierre de Brechas de Ciberseguridad</w:t>
      </w:r>
    </w:p>
    <w:p w14:paraId="75B80B5E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legado técnico más importante de esta gestión ha sido la transformación cultural y de seguridad en el código, subsanando pasivos críticos descubiertos durante las fases de análisis (abril y mayo).</w:t>
      </w:r>
    </w:p>
    <w:p w14:paraId="3098F9A1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77AD5F4A" w14:textId="77777777" w:rsidR="003805E8" w:rsidRDefault="003805E8" w:rsidP="003805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512D96DD" w14:textId="77777777" w:rsidR="003805E8" w:rsidRDefault="003805E8" w:rsidP="003805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5D017539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Implementación Defensiva en MUSEMS-PU</w:t>
      </w:r>
    </w:p>
    <w:p w14:paraId="1BFAFCDA" w14:textId="77777777" w:rsidR="003805E8" w:rsidRDefault="003805E8" w:rsidP="003805E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Denegación de Servicio (Rate Limiting):</w:t>
      </w:r>
      <w:r>
        <w:rPr>
          <w:rFonts w:ascii="Calibri" w:eastAsia="Times New Roman" w:hAnsi="Calibri" w:cs="Calibri"/>
        </w:rPr>
        <w:t xml:space="preserve"> Ante el riesgo de explotación de fuerza bruta en los accesos institucionales, se configuró y probó bajo estrés la librería 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 xml:space="preserve">. Se cede una API configurada con restricciones firmes (ej. 5 peticiones por minuto en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>), interrumpiendo tempranamente los asedios mediante respuestas HTTP 429 sin agotar los recursos transaccionales de Oracle.</w:t>
      </w:r>
    </w:p>
    <w:p w14:paraId="06C2F551" w14:textId="77777777" w:rsidR="003805E8" w:rsidRDefault="003805E8" w:rsidP="003805E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55 (Rendimiento Hashing):</w:t>
      </w:r>
      <w:r>
        <w:rPr>
          <w:rFonts w:ascii="Calibri" w:eastAsia="Times New Roman" w:hAnsi="Calibri" w:cs="Calibri"/>
        </w:rPr>
        <w:t xml:space="preserve"> Se modernizó la gestión criptográfica interna deshabilitando el motor 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 xml:space="preserve"> a favor de la biblioteca nativa </w:t>
      </w:r>
      <w:r>
        <w:rPr>
          <w:rStyle w:val="CdigoHTML"/>
        </w:rPr>
        <w:t>bcrypt</w:t>
      </w:r>
      <w:r>
        <w:rPr>
          <w:rFonts w:ascii="Calibri" w:eastAsia="Times New Roman" w:hAnsi="Calibri" w:cs="Calibri"/>
        </w:rPr>
        <w:t>, logrando una reducción calculada del 18% en los ciclos de CPU durante el análisis forense de *login*.</w:t>
      </w:r>
    </w:p>
    <w:p w14:paraId="0049C7CC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A21693">
          <v:rect id="_x0000_i1028" style="width:0;height:1.5pt" o:hralign="center" o:hrstd="t" o:hr="t" fillcolor="#a0a0a0" stroked="f"/>
        </w:pict>
      </w:r>
    </w:p>
    <w:p w14:paraId="29828666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Gobernanza DevSecOps y Automatización (ETL Documental)</w:t>
      </w:r>
    </w:p>
    <w:p w14:paraId="0F6AADC2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junio, el concepto de extracción y transformación de datos (ETL) fue llevado un paso más allá, implementándose un poderoso *Pipeline* de Aseguramiento Continuo de Calidad (CI/CD) que no permite fallas estructurales.</w:t>
      </w:r>
    </w:p>
    <w:p w14:paraId="0A989DE8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1BEE8A20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2935B3FC" w14:textId="77777777" w:rsidR="003805E8" w:rsidRDefault="003805E8" w:rsidP="003805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0C469388" w14:textId="77777777" w:rsidR="003805E8" w:rsidRDefault="003805E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0A9678BD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49A2A434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48EFB9">
          <v:rect id="_x0000_i1029" style="width:0;height:1.5pt" o:hralign="center" o:hrstd="t" o:hr="t" fillcolor="#a0a0a0" stroked="f"/>
        </w:pict>
      </w:r>
    </w:p>
    <w:p w14:paraId="7F824BE8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44A70E80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57E40ADB" w14:textId="77777777" w:rsidR="003805E8" w:rsidRDefault="003805E8" w:rsidP="003805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Endpoint del Servidor Web: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http://168.255.101.231:8086/</w:t>
      </w:r>
    </w:p>
    <w:p w14:paraId="628162E6" w14:textId="77777777" w:rsidR="003805E8" w:rsidRDefault="003805E8" w:rsidP="003805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Nodos de Base de Datos: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>)</w:t>
      </w:r>
    </w:p>
    <w:p w14:paraId="18BC0E9D" w14:textId="77777777" w:rsidR="003805E8" w:rsidRDefault="003805E8" w:rsidP="003805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Usuarios Creados e Intransferibles:</w:t>
      </w:r>
      <w:r>
        <w:rPr>
          <w:rFonts w:ascii="Calibri" w:eastAsia="Times New Roman" w:hAnsi="Calibri" w:cs="Calibri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</w:rPr>
        <w:t>. Estos usuarios están blindados bajo la lógica de retención obligatoria (Lockout Prevention) para asegurar continuidad administrativa.</w:t>
      </w:r>
    </w:p>
    <w:p w14:paraId="01895696" w14:textId="77777777" w:rsidR="003805E8" w:rsidRDefault="003805E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2182BF">
          <v:rect id="_x0000_i1030" style="width:0;height:1.5pt" o:hralign="center" o:hrstd="t" o:hr="t" fillcolor="#a0a0a0" stroked="f"/>
        </w:pict>
      </w:r>
    </w:p>
    <w:p w14:paraId="0CCB58CA" w14:textId="77777777" w:rsidR="003805E8" w:rsidRDefault="003805E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Inventario Definitivo de Handover Tecnológico (Listado de Entrega)</w:t>
      </w:r>
    </w:p>
    <w:p w14:paraId="7019FBDF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Por este medio, hago entrega formal e irrevocable de la totalidad de la propiedad intelectual, código fuente, y auditorías técnicas desarrolladas en mi periodo de consultoría. Se ceden los siguientes repositorios y activos operacionales:</w:t>
      </w:r>
    </w:p>
    <w:p w14:paraId="2FE09216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Institucional </w:t>
      </w:r>
      <w:r>
        <w:rPr>
          <w:rStyle w:val="CdigoHTML"/>
          <w:b/>
          <w:bCs/>
        </w:rPr>
        <w:t>SEP_MUSEMS_PU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55511FCC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Código fuente Frontend (React 19, Vite, TypeScript) y Backend (FastAPI, Python).</w:t>
      </w:r>
    </w:p>
    <w:p w14:paraId="243DABBA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de Base de Datos </w:t>
      </w:r>
      <w:r>
        <w:rPr>
          <w:rStyle w:val="CdigoHTML"/>
        </w:rPr>
        <w:t>00-Central_Data_Base/</w:t>
      </w:r>
      <w:r>
        <w:rPr>
          <w:rFonts w:ascii="Calibri" w:hAnsi="Calibri" w:cs="Calibri"/>
          <w:sz w:val="22"/>
          <w:szCs w:val="22"/>
        </w:rPr>
        <w:t xml:space="preserve"> con los DDL de tablas y las 9 Vistas Analíticas certificadas (incluyendo la vista central de privacidad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).</w:t>
      </w:r>
    </w:p>
    <w:p w14:paraId="6CF1D782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Pipeline de Seguridad Automática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.</w:t>
      </w:r>
    </w:p>
    <w:p w14:paraId="14E5875F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de Transición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448705C7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consolidada, probada y congelada con *Zero Regressions*.</w:t>
      </w:r>
    </w:p>
    <w:p w14:paraId="0AF57AF6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forense documental (Análisis de Inventario, Bitácoras de Proyecto, y Reportes Técnicos </w:t>
      </w:r>
      <w:r>
        <w:rPr>
          <w:rStyle w:val="CdigoHTML"/>
        </w:rPr>
        <w:t>RCA</w:t>
      </w:r>
      <w:r>
        <w:rPr>
          <w:rFonts w:ascii="Calibri" w:hAnsi="Calibri" w:cs="Calibri"/>
          <w:sz w:val="22"/>
          <w:szCs w:val="22"/>
        </w:rPr>
        <w:t xml:space="preserve"> de resolución de brechas).</w:t>
      </w:r>
    </w:p>
    <w:p w14:paraId="067AF6C7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Carpeta Maestra de Entregables CMMI (Nivel 3):</w:t>
      </w:r>
    </w:p>
    <w:p w14:paraId="3659E7BE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El compendio completo de 14 documentos de ingeniería, que abarcan desde el Manual de Instalación (07), Reglas de Negocio (12), Casos de Uso (13), Arquitectura (11), y Pruebas Funcionales y de Estrés (04, 06).</w:t>
      </w:r>
    </w:p>
    <w:p w14:paraId="321C2763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*Matriz de Rastreo y Trazabilidad Integral (Versión 4.1)*, certificando que el 100% de los Requerimientos Funcionales de la SEP están atados a un endpoint verificable, a una tabla persistente y a una prueba automatizada QA.</w:t>
      </w:r>
    </w:p>
    <w:p w14:paraId="7D1FBFC0" w14:textId="77777777" w:rsidR="003805E8" w:rsidRDefault="003805E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del presente documento legal y operativo, doy por concluida de manera satisfactoria mi participación técnica, confirmando que la infraestructura, gobernanza y el *Know-How* requeridos por la Secretaría se encuentran materializados y en resguardo total de la institución.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FE550" w14:textId="77777777" w:rsidR="00017CA4" w:rsidRPr="003A5DB2" w:rsidRDefault="00017CA4" w:rsidP="00997E2E">
      <w:r w:rsidRPr="003A5DB2">
        <w:separator/>
      </w:r>
    </w:p>
  </w:endnote>
  <w:endnote w:type="continuationSeparator" w:id="0">
    <w:p w14:paraId="3D8EE5BB" w14:textId="77777777" w:rsidR="00017CA4" w:rsidRPr="003A5DB2" w:rsidRDefault="00017CA4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FF51" w14:textId="77777777" w:rsidR="00017CA4" w:rsidRPr="003A5DB2" w:rsidRDefault="00017CA4" w:rsidP="00997E2E">
      <w:r w:rsidRPr="003A5DB2">
        <w:separator/>
      </w:r>
    </w:p>
  </w:footnote>
  <w:footnote w:type="continuationSeparator" w:id="0">
    <w:p w14:paraId="39DAA62F" w14:textId="77777777" w:rsidR="00017CA4" w:rsidRPr="003A5DB2" w:rsidRDefault="00017CA4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D35EEB"/>
    <w:multiLevelType w:val="multilevel"/>
    <w:tmpl w:val="66DE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2234B5"/>
    <w:multiLevelType w:val="multilevel"/>
    <w:tmpl w:val="753E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F7544"/>
    <w:multiLevelType w:val="multilevel"/>
    <w:tmpl w:val="031A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395471"/>
    <w:multiLevelType w:val="multilevel"/>
    <w:tmpl w:val="56F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D718C"/>
    <w:multiLevelType w:val="multilevel"/>
    <w:tmpl w:val="8A7A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5"/>
  </w:num>
  <w:num w:numId="8" w16cid:durableId="1187519976">
    <w:abstractNumId w:val="10"/>
  </w:num>
  <w:num w:numId="9" w16cid:durableId="774518276">
    <w:abstractNumId w:val="7"/>
  </w:num>
  <w:num w:numId="10" w16cid:durableId="2009867063">
    <w:abstractNumId w:val="12"/>
  </w:num>
  <w:num w:numId="11" w16cid:durableId="1924602666">
    <w:abstractNumId w:val="16"/>
  </w:num>
  <w:num w:numId="12" w16cid:durableId="2021344936">
    <w:abstractNumId w:val="2"/>
  </w:num>
  <w:num w:numId="13" w16cid:durableId="1621256670">
    <w:abstractNumId w:val="11"/>
  </w:num>
  <w:num w:numId="14" w16cid:durableId="1103457290">
    <w:abstractNumId w:val="13"/>
  </w:num>
  <w:num w:numId="15" w16cid:durableId="1179003592">
    <w:abstractNumId w:val="9"/>
  </w:num>
  <w:num w:numId="16" w16cid:durableId="1842307486">
    <w:abstractNumId w:val="8"/>
  </w:num>
  <w:num w:numId="17" w16cid:durableId="1229338601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17CA4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17702"/>
    <w:rsid w:val="00322ECA"/>
    <w:rsid w:val="0032551C"/>
    <w:rsid w:val="00326D19"/>
    <w:rsid w:val="00326F90"/>
    <w:rsid w:val="00364FFA"/>
    <w:rsid w:val="003805E8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3805E8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3805E8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1284</Words>
  <Characters>7067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2026-06-23T21:38:00Z</dcterms:modified>
  <cp:category/>
</cp:coreProperties>
</file>