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1379" w14:textId="77777777" w:rsidR="00E42037" w:rsidRDefault="00E42037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Reporte de Cierre: Especificaciones del Proyecto Vida Saludable</w:t>
      </w:r>
    </w:p>
    <w:p w14:paraId="09E5DD08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525D27BD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5ACA6177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2109E9F9" w14:textId="77777777" w:rsidR="00E42037" w:rsidRDefault="00E4203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6085C52">
          <v:rect id="_x0000_i1025" style="width:0;height:1.5pt" o:hralign="center" o:hrstd="t" o:hr="t" fillcolor="#a0a0a0" stroked="f"/>
        </w:pict>
      </w:r>
    </w:p>
    <w:p w14:paraId="1461C3D6" w14:textId="77777777" w:rsidR="00E42037" w:rsidRDefault="00E4203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05A29C12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Este documento presenta el acta final de estado y cierre trimestral de las actividades vinculadas al proyecto Vida Saludable, consolidando la herencia tecnológica depositada en 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>. Sirve como constancia de que la arquitectura diseñada y migrada se transfiere en óptimas condiciones operativas para su futura explotación.</w:t>
      </w:r>
    </w:p>
    <w:p w14:paraId="4A4A2246" w14:textId="77777777" w:rsidR="00E42037" w:rsidRDefault="00E4203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Herencia Arquitectónica y Estado Final</w:t>
      </w:r>
    </w:p>
    <w:p w14:paraId="1911B910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la fecha de corte, el proyecto conserva su estado de congelamiento administrativo (pausa técnica) con una línea base blindada y un código fuente completamente resiliente y refactorizado:</w:t>
      </w:r>
    </w:p>
    <w:p w14:paraId="57F5684A" w14:textId="77777777" w:rsidR="00E42037" w:rsidRDefault="00E4203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Core de Infraestructura:</w:t>
      </w:r>
      <w:r>
        <w:rPr>
          <w:rFonts w:ascii="Calibri" w:eastAsia="Times New Roman" w:hAnsi="Calibri" w:cs="Calibri"/>
          <w:sz w:val="22"/>
          <w:szCs w:val="22"/>
        </w:rPr>
        <w:t xml:space="preserve"> El backend asíncrono (FastAPI, pg8000 puro) y la integración UI (Angular 18) quedan formalmente segregados y documentados.</w:t>
      </w:r>
    </w:p>
    <w:p w14:paraId="7CAEB1AD" w14:textId="77777777" w:rsidR="00E42037" w:rsidRDefault="00E4203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Auditoría de Vulnerabilidades Previas:</w:t>
      </w:r>
      <w:r>
        <w:rPr>
          <w:rFonts w:ascii="Calibri" w:eastAsia="Times New Roman" w:hAnsi="Calibri" w:cs="Calibri"/>
          <w:sz w:val="22"/>
          <w:szCs w:val="22"/>
        </w:rPr>
        <w:t xml:space="preserve"> Las incidencias Críticas de inyección SQL (Issue 61), cifrado de cliente IMSS con GCM (Issue 60) y ofuscación de CURP en GraphQL (Issue 59) fueron resueltas por completo mediante implementaciones rigurosas, cubiertas por pruebas *End-to-End* en Cypress y certificadas con *Unit Tests*.</w:t>
      </w:r>
    </w:p>
    <w:p w14:paraId="54E32F09" w14:textId="77777777" w:rsidR="00E42037" w:rsidRDefault="00E4203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Regresiones:</w:t>
      </w:r>
      <w:r>
        <w:rPr>
          <w:rFonts w:ascii="Calibri" w:eastAsia="Times New Roman" w:hAnsi="Calibri" w:cs="Calibri"/>
          <w:sz w:val="22"/>
          <w:szCs w:val="22"/>
        </w:rPr>
        <w:t xml:space="preserve"> El historial técnico de incidencias (</w:t>
      </w:r>
      <w:r>
        <w:rPr>
          <w:rStyle w:val="CdigoHTML"/>
        </w:rPr>
        <w:t>RESUMEN-PAUSA-PROYECTO.md</w:t>
      </w:r>
      <w:r>
        <w:rPr>
          <w:rFonts w:ascii="Calibri" w:eastAsia="Times New Roman" w:hAnsi="Calibri" w:cs="Calibri"/>
          <w:sz w:val="22"/>
          <w:szCs w:val="22"/>
        </w:rPr>
        <w:t xml:space="preserve"> y documentos </w:t>
      </w:r>
      <w:r>
        <w:rPr>
          <w:rStyle w:val="CdigoHTML"/>
        </w:rPr>
        <w:t>RCA_*</w:t>
      </w:r>
      <w:r>
        <w:rPr>
          <w:rFonts w:ascii="Calibri" w:eastAsia="Times New Roman" w:hAnsi="Calibri" w:cs="Calibri"/>
          <w:sz w:val="22"/>
          <w:szCs w:val="22"/>
        </w:rPr>
        <w:t>) se entrega al corriente para proveer contexto claro al equipo receptor.</w:t>
      </w:r>
    </w:p>
    <w:p w14:paraId="2A904968" w14:textId="77777777" w:rsidR="00E42037" w:rsidRDefault="00E4203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Instructivo para la Reactivación</w:t>
      </w:r>
    </w:p>
    <w:p w14:paraId="7C5CEC26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reanudación operativa por parte del equipo sucesor es totalmente viable e inmediata a través de las siguientes etapas documentadas en la base de conocimiento:</w:t>
      </w:r>
    </w:p>
    <w:p w14:paraId="13DC780D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Migración de Ramas:</w:t>
      </w:r>
      <w:r>
        <w:rPr>
          <w:rFonts w:ascii="Calibri" w:hAnsi="Calibri" w:cs="Calibri"/>
          <w:sz w:val="22"/>
          <w:szCs w:val="22"/>
        </w:rPr>
        <w:t xml:space="preserve"> Aprobar el *Pull Request* de la rama </w:t>
      </w:r>
      <w:r>
        <w:rPr>
          <w:rStyle w:val="CdigoHTML"/>
        </w:rPr>
        <w:t>feature/vlarrea-fase-2</w:t>
      </w:r>
      <w:r>
        <w:rPr>
          <w:rFonts w:ascii="Calibri" w:hAnsi="Calibri" w:cs="Calibri"/>
          <w:sz w:val="22"/>
          <w:szCs w:val="22"/>
        </w:rPr>
        <w:t xml:space="preserve"> hacia la rama principal </w:t>
      </w:r>
      <w:r>
        <w:rPr>
          <w:rStyle w:val="CdigoHTML"/>
        </w:rPr>
        <w:t>master</w:t>
      </w:r>
      <w:r>
        <w:rPr>
          <w:rFonts w:ascii="Calibri" w:hAnsi="Calibri" w:cs="Calibri"/>
          <w:sz w:val="22"/>
          <w:szCs w:val="22"/>
        </w:rPr>
        <w:t>.</w:t>
      </w:r>
    </w:p>
    <w:p w14:paraId="0BF64326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Ejecución del Sprint 1:</w:t>
      </w:r>
      <w:r>
        <w:rPr>
          <w:rFonts w:ascii="Calibri" w:hAnsi="Calibri" w:cs="Calibri"/>
          <w:sz w:val="22"/>
          <w:szCs w:val="22"/>
        </w:rPr>
        <w:t xml:space="preserve"> Arrancar directamente con el desarrollo funcional de *Layouts* apoyándose en el motor orquestador asíncrono (Zero Persistence) que ya se entrega integrado.</w:t>
      </w:r>
    </w:p>
    <w:p w14:paraId="017AB3AB" w14:textId="77777777" w:rsidR="00E42037" w:rsidRDefault="00E4203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Inventario de Entregables Finales (Handover Tecnológico)</w:t>
      </w:r>
    </w:p>
    <w:p w14:paraId="5B4B56B3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acta de cierre del componente Vida Saludable, se entregan los siguientes activos:</w:t>
      </w:r>
    </w:p>
    <w:p w14:paraId="7449F7FA" w14:textId="77777777" w:rsidR="00E42037" w:rsidRDefault="00E4203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Repositorio completo con histórico de *commits* y refactorización estructural.</w:t>
      </w:r>
    </w:p>
    <w:p w14:paraId="54BB2D27" w14:textId="77777777" w:rsidR="00E42037" w:rsidRDefault="00E4203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Conjunto de Pruebas Unitarias y *End-to-End* aprobadas y vinculadas a la canalización de Integración Continua (CI).</w:t>
      </w:r>
    </w:p>
    <w:p w14:paraId="2BC00A69" w14:textId="77777777" w:rsidR="00E42037" w:rsidRDefault="00E4203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Documentación técnica forense exhaustiva de la Fase 2 (Casos de Uso, Reportes Técnicos de Resolución de Issues y *Code Reviews* almacenados en </w:t>
      </w:r>
      <w:r>
        <w:rPr>
          <w:rStyle w:val="CdigoHTML"/>
        </w:rPr>
        <w:t>/fase-2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015C1E70" w14:textId="77777777" w:rsidR="00E42037" w:rsidRDefault="00E4203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la entrega de estos artefactos, el consultor certifica que el conocimiento, las metodologías de seguridad implementadas y la línea base del proyecto Vida Saludable quedan satisfactoriamente transferidos.</w:t>
      </w:r>
    </w:p>
    <w:sectPr w:rsidR="00E42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3DE5"/>
    <w:multiLevelType w:val="multilevel"/>
    <w:tmpl w:val="508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A0206E"/>
    <w:multiLevelType w:val="multilevel"/>
    <w:tmpl w:val="3A1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931937">
    <w:abstractNumId w:val="1"/>
  </w:num>
  <w:num w:numId="2" w16cid:durableId="28555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A4"/>
    <w:rsid w:val="001E6496"/>
    <w:rsid w:val="00C713A4"/>
    <w:rsid w:val="00E4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F038D"/>
  <w15:chartTrackingRefBased/>
  <w15:docId w15:val="{52E69EE4-C457-4FA5-8769-FF07ECFD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</dc:creator>
  <cp:keywords/>
  <dc:description/>
  <cp:lastModifiedBy>Victor Lelo de Larrea</cp:lastModifiedBy>
  <cp:revision>2</cp:revision>
  <dcterms:created xsi:type="dcterms:W3CDTF">2026-06-23T18:03:00Z</dcterms:created>
  <dcterms:modified xsi:type="dcterms:W3CDTF">2026-06-23T18:03:00Z</dcterms:modified>
</cp:coreProperties>
</file>