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B9227" w14:textId="77777777" w:rsidR="0064036C" w:rsidRDefault="0064036C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Optimización y Rendimiento de Bases de Datos</w:t>
      </w:r>
    </w:p>
    <w:p w14:paraId="1532CD8B" w14:textId="77777777" w:rsidR="0064036C" w:rsidRDefault="006403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59040C23" w14:textId="77777777" w:rsidR="0064036C" w:rsidRDefault="006403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0B526EDD" w14:textId="77777777" w:rsidR="0064036C" w:rsidRDefault="006403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7473C715" w14:textId="77777777" w:rsidR="0064036C" w:rsidRDefault="0064036C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48A43467">
          <v:rect id="_x0000_i1025" style="width:0;height:1.5pt" o:hralign="center" o:hrstd="t" o:hr="t" fillcolor="#a0a0a0" stroked="f"/>
        </w:pict>
      </w:r>
    </w:p>
    <w:p w14:paraId="18A976AE" w14:textId="77777777" w:rsidR="0064036C" w:rsidRDefault="0064036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383AA30A" w14:textId="77777777" w:rsidR="0064036C" w:rsidRDefault="006403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los resultados finales y la transferencia tecnológica en materia de optimización de rendimiento y cargas transaccionales para la Plataforma de Inteligencia Analítica (MUSEMS). Este documento certifica la consolidación estructural de la capa de datos en su versión *Release Candidate 1 (RC1)*, desplegada y validada en el ambiente de Aseguramiento de Calidad (QA).</w:t>
      </w:r>
    </w:p>
    <w:p w14:paraId="3C8D8874" w14:textId="77777777" w:rsidR="0064036C" w:rsidRDefault="0064036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Consolidación de Arquitectura de Datos (Oracle 19c)</w:t>
      </w:r>
    </w:p>
    <w:p w14:paraId="1CB8B178" w14:textId="77777777" w:rsidR="0064036C" w:rsidRDefault="0064036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Refactorización de Capa de Autenticación</w:t>
      </w:r>
    </w:p>
    <w:p w14:paraId="747D0E93" w14:textId="77777777" w:rsidR="0064036C" w:rsidRDefault="006403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base de datos y la capa transaccional se entregan habiendo mitigado definitivamente los cuellos de botella detectados en ciclos anteriores. Se erradicó el uso de la dependencia obsoleta </w:t>
      </w:r>
      <w:r>
        <w:rPr>
          <w:rStyle w:val="CdigoHTML"/>
        </w:rPr>
        <w:t>passlib</w:t>
      </w:r>
      <w:r>
        <w:rPr>
          <w:rFonts w:ascii="Calibri" w:hAnsi="Calibri" w:cs="Calibri"/>
          <w:sz w:val="22"/>
          <w:szCs w:val="22"/>
        </w:rPr>
        <w:t xml:space="preserve"> sustituyéndola por </w:t>
      </w:r>
      <w:r>
        <w:rPr>
          <w:rStyle w:val="CdigoHTML"/>
        </w:rPr>
        <w:t>bcrypt</w:t>
      </w:r>
      <w:r>
        <w:rPr>
          <w:rFonts w:ascii="Calibri" w:hAnsi="Calibri" w:cs="Calibri"/>
          <w:sz w:val="22"/>
          <w:szCs w:val="22"/>
        </w:rPr>
        <w:t xml:space="preserve"> nativo, lo que alivió considerablemente la carga de estrés criptográfico (CPU) durante las peticiones asíncronas de validación de hashes sobre la tabla </w:t>
      </w:r>
      <w:r>
        <w:rPr>
          <w:rStyle w:val="CdigoHTML"/>
        </w:rPr>
        <w:t>CTMU061_USUARIO</w:t>
      </w:r>
      <w:r>
        <w:rPr>
          <w:rFonts w:ascii="Calibri" w:hAnsi="Calibri" w:cs="Calibri"/>
          <w:sz w:val="22"/>
          <w:szCs w:val="22"/>
        </w:rPr>
        <w:t>.</w:t>
      </w:r>
    </w:p>
    <w:p w14:paraId="7CA51044" w14:textId="77777777" w:rsidR="0064036C" w:rsidRDefault="0064036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Expansión del Modelado Analítico</w:t>
      </w:r>
    </w:p>
    <w:p w14:paraId="636DEC13" w14:textId="77777777" w:rsidR="0064036C" w:rsidRDefault="006403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transfieren a la base de conocimiento 9 (nueve) vistas lógicas altamente optimizadas que sustentan la plataforma BI. Destaca la inclusión e indexación de la 9ª vista analítica, </w:t>
      </w:r>
      <w:r>
        <w:rPr>
          <w:rStyle w:val="CdigoHTML"/>
        </w:rPr>
        <w:t>VW_BI_MUSEMS_HISTORICO_CURP</w:t>
      </w:r>
      <w:r>
        <w:rPr>
          <w:rFonts w:ascii="Calibri" w:hAnsi="Calibri" w:cs="Calibri"/>
          <w:sz w:val="22"/>
          <w:szCs w:val="22"/>
        </w:rPr>
        <w:t>, certificada y documentada formalmente en el *Diccionario de Datos Institucional*.</w:t>
      </w:r>
    </w:p>
    <w:p w14:paraId="0B0679FC" w14:textId="77777777" w:rsidR="0064036C" w:rsidRDefault="0064036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Resiliencia y Concurrencia (QA)</w:t>
      </w:r>
    </w:p>
    <w:p w14:paraId="12826D4D" w14:textId="77777777" w:rsidR="0064036C" w:rsidRDefault="006403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infraestructura entregada en QA (</w:t>
      </w:r>
      <w:r>
        <w:rPr>
          <w:rStyle w:val="CdigoHTML"/>
        </w:rPr>
        <w:t>168.255.101.67:1530/MUSEMSD</w:t>
      </w:r>
      <w:r>
        <w:rPr>
          <w:rFonts w:ascii="Calibri" w:hAnsi="Calibri" w:cs="Calibri"/>
          <w:sz w:val="22"/>
          <w:szCs w:val="22"/>
        </w:rPr>
        <w:t xml:space="preserve">, esquema </w:t>
      </w:r>
      <w:r>
        <w:rPr>
          <w:rStyle w:val="CdigoHTML"/>
        </w:rPr>
        <w:t>MUSEMSQA</w:t>
      </w:r>
      <w:r>
        <w:rPr>
          <w:rFonts w:ascii="Calibri" w:hAnsi="Calibri" w:cs="Calibri"/>
          <w:sz w:val="22"/>
          <w:szCs w:val="22"/>
        </w:rPr>
        <w:t xml:space="preserve">) fue probada bajo condiciones de concurrencia mediante el aprovisionamiento de un *Thin Mode Pool* configurado en la capa de </w:t>
      </w:r>
      <w:r>
        <w:rPr>
          <w:rStyle w:val="CdigoHTML"/>
        </w:rPr>
        <w:t>oracledb</w:t>
      </w:r>
      <w:r>
        <w:rPr>
          <w:rFonts w:ascii="Calibri" w:hAnsi="Calibri" w:cs="Calibri"/>
          <w:sz w:val="22"/>
          <w:szCs w:val="22"/>
        </w:rPr>
        <w:t>. Esta configuración garantiza un balance óptimo de transacciones sin monopolizar los hilos (*threads*) del servidor de base de datos de la SEP.</w:t>
      </w:r>
    </w:p>
    <w:p w14:paraId="30A7D1A7" w14:textId="77777777" w:rsidR="0064036C" w:rsidRDefault="0064036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3. Instructivo Técnico y Riesgos Operativos</w:t>
      </w:r>
    </w:p>
    <w:p w14:paraId="3122D3BA" w14:textId="77777777" w:rsidR="0064036C" w:rsidRDefault="006403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solución se entrega estabilizada. No obstante, se extienden las siguientes recomendaciones de mantenimiento para el equipo receptor:</w:t>
      </w:r>
    </w:p>
    <w:p w14:paraId="20215B2B" w14:textId="77777777" w:rsidR="0064036C" w:rsidRDefault="0064036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Tuning Avanzado:</w:t>
      </w:r>
      <w:r>
        <w:rPr>
          <w:rFonts w:ascii="Calibri" w:eastAsia="Times New Roman" w:hAnsi="Calibri" w:cs="Calibri"/>
          <w:sz w:val="22"/>
          <w:szCs w:val="22"/>
        </w:rPr>
        <w:t xml:space="preserve"> Efectuar una auditoría periódica de ejecución (</w:t>
      </w:r>
      <w:r>
        <w:rPr>
          <w:rStyle w:val="CdigoHTML"/>
        </w:rPr>
        <w:t>EXPLAIN PLAN</w:t>
      </w:r>
      <w:r>
        <w:rPr>
          <w:rFonts w:ascii="Calibri" w:eastAsia="Times New Roman" w:hAnsi="Calibri" w:cs="Calibri"/>
          <w:sz w:val="22"/>
          <w:szCs w:val="22"/>
        </w:rPr>
        <w:t xml:space="preserve">) sobre las vistas más pesadas (como </w:t>
      </w:r>
      <w:r>
        <w:rPr>
          <w:rStyle w:val="CdigoHTML"/>
        </w:rPr>
        <w:t>VW_BI_MUSEMS_REINSCRIPCIONES</w:t>
      </w:r>
      <w:r>
        <w:rPr>
          <w:rFonts w:ascii="Calibri" w:eastAsia="Times New Roman" w:hAnsi="Calibri" w:cs="Calibri"/>
          <w:sz w:val="22"/>
          <w:szCs w:val="22"/>
        </w:rPr>
        <w:t>) si el volumen de datos ingestados en Producción sobrepasa los márgenes esperados para evitar retrasos en el renderizado del front-end.</w:t>
      </w:r>
    </w:p>
    <w:p w14:paraId="3AB336DF" w14:textId="77777777" w:rsidR="0064036C" w:rsidRDefault="0064036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Inventario de Entregables Finales (Handover Tecnológico)</w:t>
      </w:r>
    </w:p>
    <w:p w14:paraId="084CCFF9" w14:textId="77777777" w:rsidR="0064036C" w:rsidRDefault="006403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acta de cierre operativo para el área de bases de datos, se transfiere:</w:t>
      </w:r>
    </w:p>
    <w:p w14:paraId="05D33776" w14:textId="77777777" w:rsidR="0064036C" w:rsidRDefault="0064036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Acervo DDL completo en el directorio </w:t>
      </w:r>
      <w:r>
        <w:rPr>
          <w:rStyle w:val="CdigoHTML"/>
        </w:rPr>
        <w:t>00-Central_Data_Base/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13035F98" w14:textId="77777777" w:rsidR="0064036C" w:rsidRDefault="0064036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Entregable CMMI (09) </w:t>
      </w:r>
      <w:r>
        <w:rPr>
          <w:rStyle w:val="Fuerte"/>
          <w:rFonts w:ascii="Calibri" w:eastAsia="Times New Roman" w:hAnsi="Calibri" w:cs="Calibri"/>
          <w:sz w:val="22"/>
          <w:szCs w:val="22"/>
        </w:rPr>
        <w:t>Diagrama Entidad Relación</w:t>
      </w:r>
      <w:r>
        <w:rPr>
          <w:rFonts w:ascii="Calibri" w:eastAsia="Times New Roman" w:hAnsi="Calibri" w:cs="Calibri"/>
          <w:sz w:val="22"/>
          <w:szCs w:val="22"/>
        </w:rPr>
        <w:t>, generado e incrustado automáticamente con renderizado en alta definición.</w:t>
      </w:r>
    </w:p>
    <w:p w14:paraId="037706C4" w14:textId="77777777" w:rsidR="0064036C" w:rsidRDefault="0064036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Entregable CMMI (10) </w:t>
      </w:r>
      <w:r>
        <w:rPr>
          <w:rStyle w:val="Fuerte"/>
          <w:rFonts w:ascii="Calibri" w:eastAsia="Times New Roman" w:hAnsi="Calibri" w:cs="Calibri"/>
          <w:sz w:val="22"/>
          <w:szCs w:val="22"/>
        </w:rPr>
        <w:t>Diccionario de Datos</w:t>
      </w:r>
      <w:r>
        <w:rPr>
          <w:rFonts w:ascii="Calibri" w:eastAsia="Times New Roman" w:hAnsi="Calibri" w:cs="Calibri"/>
          <w:sz w:val="22"/>
          <w:szCs w:val="22"/>
        </w:rPr>
        <w:t>, cubriendo integralmente todas las entidades transaccionales y las 9 vistas analíticas oficiales.</w:t>
      </w:r>
    </w:p>
    <w:p w14:paraId="084B37B1" w14:textId="77777777" w:rsidR="0064036C" w:rsidRDefault="006403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capa de datos se considera oficialmente entregada, trazable y operativa.</w:t>
      </w:r>
    </w:p>
    <w:sectPr w:rsidR="0064036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05349D"/>
    <w:multiLevelType w:val="multilevel"/>
    <w:tmpl w:val="B9322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2007F7"/>
    <w:multiLevelType w:val="multilevel"/>
    <w:tmpl w:val="96825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0753282">
    <w:abstractNumId w:val="0"/>
  </w:num>
  <w:num w:numId="2" w16cid:durableId="3174606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4A5"/>
    <w:rsid w:val="0052682B"/>
    <w:rsid w:val="0064036C"/>
    <w:rsid w:val="009A0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2DB4152"/>
  <w15:chartTrackingRefBased/>
  <w15:docId w15:val="{0412216D-E768-47AC-B451-65CACEE71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427</Words>
  <Characters>2350</Characters>
  <Application>Microsoft Office Word</Application>
  <DocSecurity>0</DocSecurity>
  <Lines>19</Lines>
  <Paragraphs>5</Paragraphs>
  <ScaleCrop>false</ScaleCrop>
  <Company/>
  <LinksUpToDate>false</LinksUpToDate>
  <CharactersWithSpaces>2772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</dc:creator>
  <cp:keywords/>
  <dc:description/>
  <cp:lastModifiedBy>Victor Lelo de Larrea</cp:lastModifiedBy>
  <cp:revision>2</cp:revision>
  <dcterms:created xsi:type="dcterms:W3CDTF">2026-06-23T18:03:00Z</dcterms:created>
  <dcterms:modified xsi:type="dcterms:W3CDTF">2026-06-23T18:03:00Z</dcterms:modified>
</cp:coreProperties>
</file>