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66F45" w14:textId="77777777" w:rsidR="005A5DFA" w:rsidRDefault="005A5DFA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Monitoreo Perimetral y Alertamiento</w:t>
      </w:r>
    </w:p>
    <w:p w14:paraId="41177153" w14:textId="77777777" w:rsidR="005A5DFA" w:rsidRDefault="005A5D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3B634D07" w14:textId="77777777" w:rsidR="005A5DFA" w:rsidRDefault="005A5D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6B8ED125" w14:textId="77777777" w:rsidR="005A5DFA" w:rsidRDefault="005A5D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60FA5CD8" w14:textId="77777777" w:rsidR="005A5DFA" w:rsidRDefault="005A5DF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B4A3594">
          <v:rect id="_x0000_i1025" style="width:0;height:1.5pt" o:hralign="center" o:hrstd="t" o:hr="t" fillcolor="#a0a0a0" stroked="f"/>
        </w:pict>
      </w:r>
    </w:p>
    <w:p w14:paraId="7FC8B397" w14:textId="77777777" w:rsidR="005A5DFA" w:rsidRDefault="005A5DF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519EA1FD" w14:textId="77777777" w:rsidR="005A5DFA" w:rsidRDefault="005A5D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Acreditar la transferencia operativa de los controles de seguridad perimetral, volumetría y alertamiento integrados en la arquitectura backend de la plataforma MUSEMS (Release Candidate 1). Este reporte funciona como acta de conclusión demostrando la protección automatizada activa contra patrones de abuso e inundación (DDoS / Fuerza Bruta).</w:t>
      </w:r>
    </w:p>
    <w:p w14:paraId="4DB943BF" w14:textId="77777777" w:rsidR="005A5DFA" w:rsidRDefault="005A5DF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Consolidación de Controles Volumétricos (Rate Limiting)</w:t>
      </w:r>
    </w:p>
    <w:p w14:paraId="5768D23F" w14:textId="77777777" w:rsidR="005A5DFA" w:rsidRDefault="005A5D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arquitectura se entrega blindada mediante la orquestación del middleware de observabilidad volumétrica apoyado en </w:t>
      </w:r>
      <w:r>
        <w:rPr>
          <w:rStyle w:val="CdigoHTML"/>
        </w:rPr>
        <w:t>slowapi</w:t>
      </w:r>
      <w:r>
        <w:rPr>
          <w:rFonts w:ascii="Calibri" w:hAnsi="Calibri" w:cs="Calibri"/>
          <w:sz w:val="22"/>
          <w:szCs w:val="22"/>
        </w:rPr>
        <w:t>.</w:t>
      </w:r>
    </w:p>
    <w:p w14:paraId="6B56AF3F" w14:textId="77777777" w:rsidR="005A5DFA" w:rsidRDefault="005A5DF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Umbrales Entregados en el Entorno QA</w:t>
      </w:r>
    </w:p>
    <w:p w14:paraId="778E0775" w14:textId="77777777" w:rsidR="005A5DFA" w:rsidRDefault="005A5D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transfiere el control de los límites volumétricos configurados bajo la premisa de "Falla Segura" (Fail-Safe):</w:t>
      </w:r>
    </w:p>
    <w:p w14:paraId="1EC11236" w14:textId="77777777" w:rsidR="005A5DFA" w:rsidRDefault="005A5DFA" w:rsidP="005A5DF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Los endpoints transaccionales públicos (como </w:t>
      </w:r>
      <w:r>
        <w:rPr>
          <w:rStyle w:val="CdigoHTML"/>
        </w:rPr>
        <w:t>/login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/forgot-password</w:t>
      </w:r>
      <w:r>
        <w:rPr>
          <w:rFonts w:ascii="Calibri" w:eastAsia="Times New Roman" w:hAnsi="Calibri" w:cs="Calibri"/>
        </w:rPr>
        <w:t xml:space="preserve">) están estrictamente acotados a un máximo de </w:t>
      </w:r>
      <w:r>
        <w:rPr>
          <w:rStyle w:val="Fuerte"/>
          <w:rFonts w:ascii="Calibri" w:eastAsia="Times New Roman" w:hAnsi="Calibri" w:cs="Calibri"/>
        </w:rPr>
        <w:t>5 peticiones por minuto</w:t>
      </w:r>
      <w:r>
        <w:rPr>
          <w:rFonts w:ascii="Calibri" w:eastAsia="Times New Roman" w:hAnsi="Calibri" w:cs="Calibri"/>
        </w:rPr>
        <w:t xml:space="preserve"> por cada dirección IP de origen.</w:t>
      </w:r>
    </w:p>
    <w:p w14:paraId="6FE45B16" w14:textId="77777777" w:rsidR="005A5DFA" w:rsidRDefault="005A5DFA" w:rsidP="005A5DF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Toda superación de este umbral genera automáticamente una excepción de red </w:t>
      </w:r>
      <w:r>
        <w:rPr>
          <w:rStyle w:val="CdigoHTML"/>
        </w:rPr>
        <w:t>429 Too Many Requests</w:t>
      </w:r>
      <w:r>
        <w:rPr>
          <w:rFonts w:ascii="Calibri" w:eastAsia="Times New Roman" w:hAnsi="Calibri" w:cs="Calibri"/>
        </w:rPr>
        <w:t>, interceptando la ráfaga a nivel de aplicación (FastAPI) y protegiendo el procesador de base de datos Oracle contra la inanición de conexiones.</w:t>
      </w:r>
    </w:p>
    <w:p w14:paraId="2687410C" w14:textId="77777777" w:rsidR="005A5DFA" w:rsidRDefault="005A5DF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Trazabilidad de Auditoría</w:t>
      </w:r>
    </w:p>
    <w:p w14:paraId="2DD72C1F" w14:textId="77777777" w:rsidR="005A5DFA" w:rsidRDefault="005A5D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control y la alerta de denegación por abuso han sido cubiertos y certificados bajo casos de prueba rigurosos, verificables en la </w:t>
      </w:r>
      <w:r>
        <w:rPr>
          <w:rStyle w:val="Fuerte"/>
          <w:rFonts w:ascii="Calibri" w:hAnsi="Calibri" w:cs="Calibri"/>
          <w:sz w:val="22"/>
          <w:szCs w:val="22"/>
        </w:rPr>
        <w:t>Matriz de Rastreo y Trazabilidad</w:t>
      </w:r>
      <w:r>
        <w:rPr>
          <w:rFonts w:ascii="Calibri" w:hAnsi="Calibri" w:cs="Calibri"/>
          <w:sz w:val="22"/>
          <w:szCs w:val="22"/>
        </w:rPr>
        <w:t xml:space="preserve"> transferida al área de operaciones.</w:t>
      </w:r>
    </w:p>
    <w:p w14:paraId="32C47508" w14:textId="77777777" w:rsidR="005A5DFA" w:rsidRDefault="005A5DF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Consideraciones para el Soporte Continuo</w:t>
      </w:r>
    </w:p>
    <w:p w14:paraId="35CA9098" w14:textId="77777777" w:rsidR="005A5DFA" w:rsidRDefault="005A5D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Si bien la protección volumétrica actual garantiza la resiliencia base, se transfiere al equipo de operaciones el deber de monitorear el comportamiento de las IPs bajo arquitecturas de red complejas (Carrier-grade NAT). Se recomienda el análisis constante de las cabeceras </w:t>
      </w:r>
      <w:r>
        <w:rPr>
          <w:rStyle w:val="CdigoHTML"/>
        </w:rPr>
        <w:t>X-Forwarded-For</w:t>
      </w:r>
      <w:r>
        <w:rPr>
          <w:rFonts w:ascii="Calibri" w:hAnsi="Calibri" w:cs="Calibri"/>
          <w:sz w:val="22"/>
          <w:szCs w:val="22"/>
        </w:rPr>
        <w:t xml:space="preserve"> en los logs de los servidores en Producción para afinar la precisión del bloqueo en caso de falsos positivos sistémicos.</w:t>
      </w:r>
    </w:p>
    <w:p w14:paraId="3719E525" w14:textId="77777777" w:rsidR="005A5DFA" w:rsidRDefault="005A5DF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777892AE" w14:textId="77777777" w:rsidR="005A5DFA" w:rsidRDefault="005A5D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blindaje de monitoreo y la estrategia de contención se formaliza con la transferencia de los siguientes artefactos aprobados:</w:t>
      </w:r>
    </w:p>
    <w:p w14:paraId="67A02009" w14:textId="77777777" w:rsidR="005A5DFA" w:rsidRDefault="005A5DFA" w:rsidP="005A5DF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Entregable CMMI (06) </w:t>
      </w:r>
      <w:r>
        <w:rPr>
          <w:rStyle w:val="Fuerte"/>
          <w:rFonts w:ascii="Calibri" w:eastAsia="Times New Roman" w:hAnsi="Calibri" w:cs="Calibri"/>
        </w:rPr>
        <w:t>Pruebas de Estrés</w:t>
      </w:r>
      <w:r>
        <w:rPr>
          <w:rFonts w:ascii="Calibri" w:eastAsia="Times New Roman" w:hAnsi="Calibri" w:cs="Calibri"/>
        </w:rPr>
        <w:t>, validando el comportamiento volumétrico del sistema.</w:t>
      </w:r>
    </w:p>
    <w:p w14:paraId="04F9D8CF" w14:textId="77777777" w:rsidR="005A5DFA" w:rsidRDefault="005A5DFA" w:rsidP="005A5DF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Entregable CMMI (04) </w:t>
      </w:r>
      <w:r>
        <w:rPr>
          <w:rStyle w:val="Fuerte"/>
          <w:rFonts w:ascii="Calibri" w:eastAsia="Times New Roman" w:hAnsi="Calibri" w:cs="Calibri"/>
        </w:rPr>
        <w:t>Pruebas Funcionales</w:t>
      </w:r>
      <w:r>
        <w:rPr>
          <w:rFonts w:ascii="Calibri" w:eastAsia="Times New Roman" w:hAnsi="Calibri" w:cs="Calibri"/>
        </w:rPr>
        <w:t>, certificando la intercepción adecuada (respuesta HTTP 429) por parte de las defensas del sistema sin degradación del resto de servicios.</w:t>
      </w:r>
    </w:p>
    <w:p w14:paraId="7FFF2103" w14:textId="77777777" w:rsidR="005A5DFA" w:rsidRDefault="005A5D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Estos activos acreditan que el servicio se entrega altamente resiliente y equipado para la operación crítica institucional.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lastRenderedPageBreak/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DE0DD" w14:textId="77777777" w:rsidR="00CB4FF6" w:rsidRPr="00F35958" w:rsidRDefault="00CB4FF6" w:rsidP="00997E2E">
      <w:r w:rsidRPr="00F35958">
        <w:separator/>
      </w:r>
    </w:p>
  </w:endnote>
  <w:endnote w:type="continuationSeparator" w:id="0">
    <w:p w14:paraId="21393A07" w14:textId="77777777" w:rsidR="00CB4FF6" w:rsidRPr="00F35958" w:rsidRDefault="00CB4FF6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F9E2E" w14:textId="77777777" w:rsidR="00CB4FF6" w:rsidRPr="00F35958" w:rsidRDefault="00CB4FF6" w:rsidP="00997E2E">
      <w:r w:rsidRPr="00F35958">
        <w:separator/>
      </w:r>
    </w:p>
  </w:footnote>
  <w:footnote w:type="continuationSeparator" w:id="0">
    <w:p w14:paraId="273A188B" w14:textId="77777777" w:rsidR="00CB4FF6" w:rsidRPr="00F35958" w:rsidRDefault="00CB4FF6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A35529"/>
    <w:multiLevelType w:val="multilevel"/>
    <w:tmpl w:val="93EE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000DBA"/>
    <w:multiLevelType w:val="multilevel"/>
    <w:tmpl w:val="CFEE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2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10"/>
  </w:num>
  <w:num w:numId="11" w16cid:durableId="1924602666">
    <w:abstractNumId w:val="13"/>
  </w:num>
  <w:num w:numId="12" w16cid:durableId="2021344936">
    <w:abstractNumId w:val="2"/>
  </w:num>
  <w:num w:numId="13" w16cid:durableId="2129884855">
    <w:abstractNumId w:val="11"/>
  </w:num>
  <w:num w:numId="14" w16cid:durableId="1533763625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A5DFA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475FE"/>
    <w:rsid w:val="00C52C1F"/>
    <w:rsid w:val="00C5797C"/>
    <w:rsid w:val="00C627A4"/>
    <w:rsid w:val="00C6492A"/>
    <w:rsid w:val="00C663DF"/>
    <w:rsid w:val="00C72784"/>
    <w:rsid w:val="00CB0664"/>
    <w:rsid w:val="00CB4FF6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5A5DFA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5A5DFA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1624</Words>
  <Characters>8933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2026-06-23T18:04:00Z</dcterms:modified>
  <cp:category/>
</cp:coreProperties>
</file>