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00E5" w14:textId="77777777" w:rsidR="002A7817" w:rsidRDefault="002A781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Acta de Cierre: Preparación de Datos y Gobernanza Analítica</w:t>
      </w:r>
    </w:p>
    <w:p w14:paraId="7C9F531D" w14:textId="77777777" w:rsidR="002A7817" w:rsidRDefault="002A78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Junio 2026 </w:t>
      </w:r>
    </w:p>
    <w:p w14:paraId="07447E8B" w14:textId="77777777" w:rsidR="002A7817" w:rsidRDefault="002A78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69B74979" w14:textId="77777777" w:rsidR="002A7817" w:rsidRDefault="002A78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378AA2E4" w14:textId="77777777" w:rsidR="002A7817" w:rsidRDefault="002A781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1537B78">
          <v:rect id="_x0000_i1025" style="width:0;height:1.5pt" o:hralign="center" o:hrstd="t" o:hr="t" fillcolor="#a0a0a0" stroked="f"/>
        </w:pict>
      </w:r>
    </w:p>
    <w:p w14:paraId="5C97C8F0" w14:textId="77777777" w:rsidR="002A7817" w:rsidRDefault="002A781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14:paraId="46047D4C" w14:textId="77777777" w:rsidR="002A7817" w:rsidRDefault="002A78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Formalizar la entrega del modelo de datos analítico y la matriz de gobernanza PII (Personal Identifiable Information) para la Plataforma de Inteligencia Analítica (MUSEMS). Este reporte documenta cómo la información ha quedado curada, anonimizada y estandarizada, apta para el entrenamiento de Inteligencia Artificial (IA) y la toma de decisiones gerenciales libres de riesgo normativo.</w:t>
      </w:r>
    </w:p>
    <w:p w14:paraId="3547ABD8" w14:textId="77777777" w:rsidR="002A7817" w:rsidRDefault="002A781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Gobernanza Analítica y Vistas de Negocio</w:t>
      </w:r>
    </w:p>
    <w:p w14:paraId="19985224" w14:textId="77777777" w:rsidR="002A7817" w:rsidRDefault="002A78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ecosistema de datos de MUSEMS se transfiere plenamente consolidado en el gestor Oracle 19c.</w:t>
      </w:r>
    </w:p>
    <w:p w14:paraId="0393EC4C" w14:textId="77777777" w:rsidR="002A7817" w:rsidRDefault="002A781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Estandarización de Datasets</w:t>
      </w:r>
    </w:p>
    <w:p w14:paraId="5CDCE272" w14:textId="77777777" w:rsidR="002A7817" w:rsidRDefault="002A78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entregan las estructuras SQL maestras diseñadas expresamente para separar la carga transaccional de la lectura analítica. Destaca la inclusión final de la vista de negocio </w:t>
      </w:r>
      <w:r>
        <w:rPr>
          <w:rStyle w:val="CdigoHTML"/>
        </w:rPr>
        <w:t>VW_BI_MUSEMS_HISTORICO_CURP</w:t>
      </w:r>
      <w:r>
        <w:rPr>
          <w:rFonts w:ascii="Calibri" w:hAnsi="Calibri" w:cs="Calibri"/>
          <w:sz w:val="22"/>
          <w:szCs w:val="22"/>
        </w:rPr>
        <w:t>, la cual provee la historia longitudinal académica de los alumnos depurada para algoritmos de segmentación.</w:t>
      </w:r>
    </w:p>
    <w:p w14:paraId="20E80A28" w14:textId="77777777" w:rsidR="002A7817" w:rsidRDefault="002A781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Blindaje de Información Personal (Gobernanza PII)</w:t>
      </w:r>
    </w:p>
    <w:p w14:paraId="00DA52BD" w14:textId="77777777" w:rsidR="002A7817" w:rsidRDefault="002A78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ha certificado y entregado el flujo completo de protección de datos personales alineado al Requerimiento Funcional 08 (RF-08).</w:t>
      </w:r>
    </w:p>
    <w:p w14:paraId="52A4C499" w14:textId="77777777" w:rsidR="002A7817" w:rsidRDefault="002A781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Mascara Criptográfica Base:</w:t>
      </w:r>
      <w:r>
        <w:rPr>
          <w:rFonts w:ascii="Calibri" w:eastAsia="Times New Roman" w:hAnsi="Calibri" w:cs="Calibri"/>
          <w:sz w:val="22"/>
          <w:szCs w:val="22"/>
        </w:rPr>
        <w:t xml:space="preserve"> Las aplicaciones leen la identidad del alumno ofuscada gracias a </w:t>
      </w:r>
      <w:r>
        <w:rPr>
          <w:rStyle w:val="CdigoHTML"/>
        </w:rPr>
        <w:t>STANDARD_HASH</w:t>
      </w:r>
      <w:r>
        <w:rPr>
          <w:rFonts w:ascii="Calibri" w:eastAsia="Times New Roman" w:hAnsi="Calibri" w:cs="Calibri"/>
          <w:sz w:val="22"/>
          <w:szCs w:val="22"/>
        </w:rPr>
        <w:t xml:space="preserve"> interactuando con la sal del sistema.</w:t>
      </w:r>
    </w:p>
    <w:p w14:paraId="1616F44F" w14:textId="77777777" w:rsidR="002A7817" w:rsidRDefault="002A781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Auditoría Estricta:</w:t>
      </w:r>
      <w:r>
        <w:rPr>
          <w:rFonts w:ascii="Calibri" w:eastAsia="Times New Roman" w:hAnsi="Calibri" w:cs="Calibri"/>
          <w:sz w:val="22"/>
          <w:szCs w:val="22"/>
        </w:rPr>
        <w:t xml:space="preserve"> Todo desenmascaramiento explícito ejecutado en el sistema inserta registros inmutables en la bitácora </w:t>
      </w:r>
      <w:r>
        <w:rPr>
          <w:rStyle w:val="CdigoHTML"/>
        </w:rPr>
        <w:t>MV_MUSEMS_IDENTITY_HASH</w:t>
      </w:r>
      <w:r>
        <w:rPr>
          <w:rFonts w:ascii="Calibri" w:eastAsia="Times New Roman" w:hAnsi="Calibri" w:cs="Calibri"/>
          <w:sz w:val="22"/>
          <w:szCs w:val="22"/>
        </w:rPr>
        <w:t>. Estos registros (Bitácora Operativa Analítica) componen a su vez el sustrato primario para que futuros modelos de IA puedan predecir patrones de fugas de datos (DLP).</w:t>
      </w:r>
    </w:p>
    <w:p w14:paraId="09A727A9" w14:textId="77777777" w:rsidR="002A7817" w:rsidRDefault="002A781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Backlog de Mejora Continua</w:t>
      </w:r>
    </w:p>
    <w:p w14:paraId="6CA93145" w14:textId="77777777" w:rsidR="002A7817" w:rsidRDefault="002A78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Para potenciar la calidad del dato en futuras etapas de Machine Learning, se transfiere al equipo entrante la recomendación de:</w:t>
      </w:r>
    </w:p>
    <w:p w14:paraId="31D40AB8" w14:textId="77777777" w:rsidR="002A7817" w:rsidRDefault="002A781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Integrar las reglas "Shift-Left" en el área de </w:t>
      </w:r>
      <w:r>
        <w:rPr>
          <w:rStyle w:val="CdigoHTML"/>
        </w:rPr>
        <w:t>Staging</w:t>
      </w:r>
      <w:r>
        <w:rPr>
          <w:rFonts w:ascii="Calibri" w:eastAsia="Times New Roman" w:hAnsi="Calibri" w:cs="Calibri"/>
          <w:sz w:val="22"/>
          <w:szCs w:val="22"/>
        </w:rPr>
        <w:t xml:space="preserve"> para denegar la inserción profunda de alumnos con claves de centro de trabajo irregulares o identificadores nulos, lo cual garantizará la pureza asintótica de la base maestra.</w:t>
      </w:r>
    </w:p>
    <w:p w14:paraId="2EAC08FD" w14:textId="77777777" w:rsidR="002A7817" w:rsidRDefault="002A781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Inventario de Entregables Finales (Handover Tecnológico)</w:t>
      </w:r>
    </w:p>
    <w:p w14:paraId="18E1AB14" w14:textId="77777777" w:rsidR="002A7817" w:rsidRDefault="002A78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Como certificación definitiva sobre el tratamiento, gobernanza y modelado de datos orientados a BI/IA, se entregan los siguientes artefactos:</w:t>
      </w:r>
    </w:p>
    <w:p w14:paraId="246CD796" w14:textId="77777777" w:rsidR="002A7817" w:rsidRDefault="002A781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Entregable CMMI (10) </w:t>
      </w:r>
      <w:r>
        <w:rPr>
          <w:rStyle w:val="Fuerte"/>
          <w:rFonts w:ascii="Calibri" w:eastAsia="Times New Roman" w:hAnsi="Calibri" w:cs="Calibri"/>
          <w:sz w:val="22"/>
          <w:szCs w:val="22"/>
        </w:rPr>
        <w:t>Diccionario de Datos</w:t>
      </w:r>
      <w:r>
        <w:rPr>
          <w:rFonts w:ascii="Calibri" w:eastAsia="Times New Roman" w:hAnsi="Calibri" w:cs="Calibri"/>
          <w:sz w:val="22"/>
          <w:szCs w:val="22"/>
        </w:rPr>
        <w:t xml:space="preserve"> oficial, con la taxonomía y diccionario de las 9 vistas analíticas entregadas.</w:t>
      </w:r>
    </w:p>
    <w:p w14:paraId="7E976D9B" w14:textId="77777777" w:rsidR="002A7817" w:rsidRDefault="002A781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Entregable CMMI (12) </w:t>
      </w:r>
      <w:r>
        <w:rPr>
          <w:rStyle w:val="Fuerte"/>
          <w:rFonts w:ascii="Calibri" w:eastAsia="Times New Roman" w:hAnsi="Calibri" w:cs="Calibri"/>
          <w:sz w:val="22"/>
          <w:szCs w:val="22"/>
        </w:rPr>
        <w:t>Reglas de Negocio</w:t>
      </w:r>
      <w:r>
        <w:rPr>
          <w:rFonts w:ascii="Calibri" w:eastAsia="Times New Roman" w:hAnsi="Calibri" w:cs="Calibri"/>
          <w:sz w:val="22"/>
          <w:szCs w:val="22"/>
        </w:rPr>
        <w:t>, en donde constan legal y funcionalmente las normativas de enmascaramiento PII y políticas de trazabilidad.</w:t>
      </w:r>
    </w:p>
    <w:p w14:paraId="1254C487" w14:textId="77777777" w:rsidR="002A7817" w:rsidRDefault="002A781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Entregable CMMI (14) </w:t>
      </w:r>
      <w:r>
        <w:rPr>
          <w:rStyle w:val="Fuerte"/>
          <w:rFonts w:ascii="Calibri" w:eastAsia="Times New Roman" w:hAnsi="Calibri" w:cs="Calibri"/>
          <w:sz w:val="22"/>
          <w:szCs w:val="22"/>
        </w:rPr>
        <w:t>Matriz de Rastreo y Trazabilidad</w:t>
      </w:r>
      <w:r>
        <w:rPr>
          <w:rFonts w:ascii="Calibri" w:eastAsia="Times New Roman" w:hAnsi="Calibri" w:cs="Calibri"/>
          <w:sz w:val="22"/>
          <w:szCs w:val="22"/>
        </w:rPr>
        <w:t xml:space="preserve"> (Certificada bajo Caso de Uso </w:t>
      </w:r>
      <w:r>
        <w:rPr>
          <w:rStyle w:val="CdigoHTML"/>
        </w:rPr>
        <w:t>CU-SEC-01</w:t>
      </w:r>
      <w:r>
        <w:rPr>
          <w:rFonts w:ascii="Calibri" w:eastAsia="Times New Roman" w:hAnsi="Calibri" w:cs="Calibri"/>
          <w:sz w:val="22"/>
          <w:szCs w:val="22"/>
        </w:rPr>
        <w:t xml:space="preserve"> y Prueba </w:t>
      </w:r>
      <w:r>
        <w:rPr>
          <w:rStyle w:val="CdigoHTML"/>
        </w:rPr>
        <w:t>SEC-02</w:t>
      </w:r>
      <w:r>
        <w:rPr>
          <w:rFonts w:ascii="Calibri" w:eastAsia="Times New Roman" w:hAnsi="Calibri" w:cs="Calibri"/>
          <w:sz w:val="22"/>
          <w:szCs w:val="22"/>
        </w:rPr>
        <w:t xml:space="preserve"> para el control PII).</w:t>
      </w:r>
    </w:p>
    <w:p w14:paraId="59043433" w14:textId="77777777" w:rsidR="002A7817" w:rsidRDefault="002A78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ecosistema de gobernanza de datos queda operativamente transferido y en estado de madurez técnica avanzada.</w:t>
      </w:r>
    </w:p>
    <w:sectPr w:rsidR="002A78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42353"/>
    <w:multiLevelType w:val="multilevel"/>
    <w:tmpl w:val="45CC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E6A51"/>
    <w:multiLevelType w:val="multilevel"/>
    <w:tmpl w:val="0B1A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429F8"/>
    <w:multiLevelType w:val="multilevel"/>
    <w:tmpl w:val="99D2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353281">
    <w:abstractNumId w:val="0"/>
  </w:num>
  <w:num w:numId="2" w16cid:durableId="429156782">
    <w:abstractNumId w:val="1"/>
  </w:num>
  <w:num w:numId="3" w16cid:durableId="2065522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2B"/>
    <w:rsid w:val="0003262B"/>
    <w:rsid w:val="002A7817"/>
    <w:rsid w:val="0070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35440E"/>
  <w15:chartTrackingRefBased/>
  <w15:docId w15:val="{5921E391-82ED-40D7-943E-90479F0F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1F1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1F1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F1F1F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Lelo de Larrea</dc:creator>
  <cp:keywords/>
  <dc:description/>
  <cp:lastModifiedBy>Victor Lelo de Larrea</cp:lastModifiedBy>
  <cp:revision>2</cp:revision>
  <dcterms:created xsi:type="dcterms:W3CDTF">2026-06-23T18:03:00Z</dcterms:created>
  <dcterms:modified xsi:type="dcterms:W3CDTF">2026-06-23T18:03:00Z</dcterms:modified>
</cp:coreProperties>
</file>