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77D6F3" w14:textId="77777777" w:rsidR="00620527" w:rsidRDefault="00620527">
      <w:pPr>
        <w:pStyle w:val="Ttulo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Acta de Cierre: Procesos ETL/ELT y Pipeline DevSecOps</w:t>
      </w:r>
    </w:p>
    <w:p w14:paraId="197DD769" w14:textId="77777777" w:rsidR="00620527" w:rsidRDefault="0062052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Mes:</w:t>
      </w:r>
      <w:r>
        <w:rPr>
          <w:rFonts w:ascii="Calibri" w:hAnsi="Calibri" w:cs="Calibri"/>
          <w:sz w:val="22"/>
          <w:szCs w:val="22"/>
        </w:rPr>
        <w:t xml:space="preserve"> Junio 2026 </w:t>
      </w:r>
    </w:p>
    <w:p w14:paraId="0BBD944A" w14:textId="77777777" w:rsidR="00620527" w:rsidRDefault="0062052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Responsable:</w:t>
      </w:r>
      <w:r>
        <w:rPr>
          <w:rFonts w:ascii="Calibri" w:hAnsi="Calibri" w:cs="Calibri"/>
          <w:sz w:val="22"/>
          <w:szCs w:val="22"/>
        </w:rPr>
        <w:t xml:space="preserve"> Victor Manuel Lelo de Larea Polanco </w:t>
      </w:r>
    </w:p>
    <w:p w14:paraId="02EE96C1" w14:textId="77777777" w:rsidR="00620527" w:rsidRDefault="00620527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Área:</w:t>
      </w:r>
      <w:r>
        <w:rPr>
          <w:rFonts w:ascii="Calibri" w:hAnsi="Calibri" w:cs="Calibri"/>
          <w:sz w:val="22"/>
          <w:szCs w:val="22"/>
        </w:rPr>
        <w:t xml:space="preserve"> Coordinación de Proyectos de TI</w:t>
      </w:r>
    </w:p>
    <w:p w14:paraId="161A229D" w14:textId="77777777" w:rsidR="00620527" w:rsidRDefault="00620527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pict w14:anchorId="15A0808D">
          <v:rect id="_x0000_i1025" style="width:0;height:1.5pt" o:hralign="center" o:hrstd="t" o:hr="t" fillcolor="#a0a0a0" stroked="f"/>
        </w:pict>
      </w:r>
    </w:p>
    <w:p w14:paraId="03AE92DE" w14:textId="77777777" w:rsidR="00620527" w:rsidRDefault="00620527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Objeto del Entregable</w:t>
      </w:r>
    </w:p>
    <w:p w14:paraId="5B45111C" w14:textId="77777777" w:rsidR="00620527" w:rsidRDefault="0062052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Documentar la entrega y maduración final del flujo de trabajo de la Plataforma de Inteligencia Analítica (MUSEMS) bajo la óptica de Transformación (ETL de Integración Continua) y Seguridad (DevSecOps). Este documento cierra el ciclo operativo acreditando un estado de cero vulnerabilidades y una automatización transaccional 100% robusta.</w:t>
      </w:r>
    </w:p>
    <w:p w14:paraId="03AE3D70" w14:textId="77777777" w:rsidR="00620527" w:rsidRDefault="00620527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 Consolidación de Procesos (DevSecOps y ETL de Artefactos)</w:t>
      </w:r>
    </w:p>
    <w:p w14:paraId="4E779222" w14:textId="77777777" w:rsidR="00620527" w:rsidRDefault="00620527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2.1 Aprobación de Seguridad de Software</w:t>
      </w:r>
    </w:p>
    <w:p w14:paraId="5C2DEEC7" w14:textId="77777777" w:rsidR="00620527" w:rsidRDefault="0062052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El hito definitivo para el pase a producción ha sido la validación de las compuertas de seguridad (*Shift-Left*). Se hace constar que el ciclo de análisis automático (SAST y SCA a través de </w:t>
      </w:r>
      <w:r>
        <w:rPr>
          <w:rStyle w:val="CdigoHTML"/>
        </w:rPr>
        <w:t>.github/workflows/security-ci.yml</w:t>
      </w:r>
      <w:r>
        <w:rPr>
          <w:rFonts w:ascii="Calibri" w:hAnsi="Calibri" w:cs="Calibri"/>
          <w:sz w:val="22"/>
          <w:szCs w:val="22"/>
        </w:rPr>
        <w:t xml:space="preserve">) ejecutado sobre todo código propuesto hacia </w:t>
      </w:r>
      <w:r>
        <w:rPr>
          <w:rStyle w:val="CdigoHTML"/>
        </w:rPr>
        <w:t>main</w:t>
      </w:r>
      <w:r>
        <w:rPr>
          <w:rFonts w:ascii="Calibri" w:hAnsi="Calibri" w:cs="Calibri"/>
          <w:sz w:val="22"/>
          <w:szCs w:val="22"/>
        </w:rPr>
        <w:t xml:space="preserve"> ha concluido con un dictamen de </w:t>
      </w:r>
      <w:r>
        <w:rPr>
          <w:rStyle w:val="Fuerte"/>
          <w:rFonts w:ascii="Calibri" w:hAnsi="Calibri" w:cs="Calibri"/>
          <w:sz w:val="22"/>
          <w:szCs w:val="22"/>
        </w:rPr>
        <w:t>APROBADO</w:t>
      </w:r>
      <w:r>
        <w:rPr>
          <w:rFonts w:ascii="Calibri" w:hAnsi="Calibri" w:cs="Calibri"/>
          <w:sz w:val="22"/>
          <w:szCs w:val="22"/>
        </w:rPr>
        <w:t>. Se eliminaron hallazgos medios y altos identificados en semanas previas, blindando la base de código contra debilidades criptográficas, inyección de datos e importación de librerías obsoletas.</w:t>
      </w:r>
    </w:p>
    <w:p w14:paraId="692E2C9F" w14:textId="77777777" w:rsidR="00620527" w:rsidRDefault="00620527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2.2 ETL Documental Automatizado (</w:t>
      </w:r>
      <w:r>
        <w:rPr>
          <w:rStyle w:val="CdigoHTML"/>
        </w:rPr>
        <w:t>generate_docs.py</w:t>
      </w:r>
      <w:r>
        <w:rPr>
          <w:rFonts w:ascii="Calibri" w:eastAsia="Times New Roman" w:hAnsi="Calibri" w:cs="Calibri"/>
        </w:rPr>
        <w:t>)</w:t>
      </w:r>
    </w:p>
    <w:p w14:paraId="2B72B1EB" w14:textId="77777777" w:rsidR="00620527" w:rsidRDefault="0062052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Más allá de la transformación de datos (ELT Oracle), en esta etapa final de *Handover* se conceptualizó un ETL de conocimiento corporativo. El script </w:t>
      </w:r>
      <w:r>
        <w:rPr>
          <w:rStyle w:val="CdigoHTML"/>
        </w:rPr>
        <w:t>generate_docs.py</w:t>
      </w:r>
      <w:r>
        <w:rPr>
          <w:rFonts w:ascii="Calibri" w:hAnsi="Calibri" w:cs="Calibri"/>
          <w:sz w:val="22"/>
          <w:szCs w:val="22"/>
        </w:rPr>
        <w:t xml:space="preserve"> opera extrayendo contenido crudo en Markdown, transformando los diagramas relacionales (Mermaid) e inyectando binarios Base64 de imágenes, para finalmente cargar (Load) artefactos perfectos en formatos </w:t>
      </w:r>
      <w:r>
        <w:rPr>
          <w:rStyle w:val="CdigoHTML"/>
        </w:rPr>
        <w:t>.docx</w:t>
      </w:r>
      <w:r>
        <w:rPr>
          <w:rFonts w:ascii="Calibri" w:hAnsi="Calibri" w:cs="Calibri"/>
          <w:sz w:val="22"/>
          <w:szCs w:val="22"/>
        </w:rPr>
        <w:t xml:space="preserve"> y </w:t>
      </w:r>
      <w:r>
        <w:rPr>
          <w:rStyle w:val="CdigoHTML"/>
        </w:rPr>
        <w:t>.pdf</w:t>
      </w:r>
      <w:r>
        <w:rPr>
          <w:rFonts w:ascii="Calibri" w:hAnsi="Calibri" w:cs="Calibri"/>
          <w:sz w:val="22"/>
          <w:szCs w:val="22"/>
        </w:rPr>
        <w:t xml:space="preserve"> listos para impresión y firmas.</w:t>
      </w:r>
    </w:p>
    <w:p w14:paraId="6A205C42" w14:textId="77777777" w:rsidR="00620527" w:rsidRDefault="00620527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Consideraciones Finales (Continuidad)</w:t>
      </w:r>
    </w:p>
    <w:p w14:paraId="768052A6" w14:textId="77777777" w:rsidR="00620527" w:rsidRDefault="0062052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Se transmite al equipo receptor la directriz de jamás omitir las comprobaciones del *Pipeline* de GitHub Actions. Si un nuevo desarrollo arroja </w:t>
      </w:r>
      <w:r>
        <w:rPr>
          <w:rStyle w:val="CdigoHTML"/>
        </w:rPr>
        <w:t>exit 1</w:t>
      </w:r>
      <w:r>
        <w:rPr>
          <w:rFonts w:ascii="Calibri" w:hAnsi="Calibri" w:cs="Calibri"/>
          <w:sz w:val="22"/>
          <w:szCs w:val="22"/>
        </w:rPr>
        <w:t xml:space="preserve"> en auditoría de código (</w:t>
      </w:r>
      <w:r>
        <w:rPr>
          <w:rStyle w:val="CdigoHTML"/>
        </w:rPr>
        <w:t>semgrep</w:t>
      </w:r>
      <w:r>
        <w:rPr>
          <w:rFonts w:ascii="Calibri" w:hAnsi="Calibri" w:cs="Calibri"/>
          <w:sz w:val="22"/>
          <w:szCs w:val="22"/>
        </w:rPr>
        <w:t xml:space="preserve"> / </w:t>
      </w:r>
      <w:r>
        <w:rPr>
          <w:rStyle w:val="CdigoHTML"/>
        </w:rPr>
        <w:t xml:space="preserve">npm </w:t>
      </w:r>
      <w:r>
        <w:rPr>
          <w:rStyle w:val="CdigoHTML"/>
        </w:rPr>
        <w:lastRenderedPageBreak/>
        <w:t>audit</w:t>
      </w:r>
      <w:r>
        <w:rPr>
          <w:rFonts w:ascii="Calibri" w:hAnsi="Calibri" w:cs="Calibri"/>
          <w:sz w:val="22"/>
          <w:szCs w:val="22"/>
        </w:rPr>
        <w:t>), debe detenerse inmediatamente la integración y corregirse el origen. Se delega al equipo la responsabilidad de extender las políticas de ciberseguridad hacia el contenedor de despliegue Docker (*Container Scanning*) en la siguiente fase de madurez.</w:t>
      </w:r>
    </w:p>
    <w:p w14:paraId="33EFA21E" w14:textId="77777777" w:rsidR="00620527" w:rsidRDefault="00620527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 Inventario de Entregables Finales (Handover Tecnológico)</w:t>
      </w:r>
    </w:p>
    <w:p w14:paraId="0B2B1D76" w14:textId="77777777" w:rsidR="00620527" w:rsidRDefault="0062052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Como acta que formaliza la entrega de los mecanismos de integración, seguridad e infraestructura, se ceden los siguientes componentes corporativos:</w:t>
      </w:r>
    </w:p>
    <w:p w14:paraId="1015F310" w14:textId="77777777" w:rsidR="00620527" w:rsidRDefault="00620527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Entregable CMMI (05) </w:t>
      </w:r>
      <w:r>
        <w:rPr>
          <w:rStyle w:val="Fuerte"/>
          <w:rFonts w:ascii="Calibri" w:eastAsia="Times New Roman" w:hAnsi="Calibri" w:cs="Calibri"/>
          <w:sz w:val="22"/>
          <w:szCs w:val="22"/>
        </w:rPr>
        <w:t>Análisis de Vulnerabilidades</w:t>
      </w:r>
      <w:r>
        <w:rPr>
          <w:rFonts w:ascii="Calibri" w:eastAsia="Times New Roman" w:hAnsi="Calibri" w:cs="Calibri"/>
          <w:sz w:val="22"/>
          <w:szCs w:val="22"/>
        </w:rPr>
        <w:t>, refrendado con dictamen formal de "APROBADO".</w:t>
      </w:r>
    </w:p>
    <w:p w14:paraId="351A7352" w14:textId="77777777" w:rsidR="00620527" w:rsidRDefault="00620527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Entregable CMMI (14) </w:t>
      </w:r>
      <w:r>
        <w:rPr>
          <w:rStyle w:val="Fuerte"/>
          <w:rFonts w:ascii="Calibri" w:eastAsia="Times New Roman" w:hAnsi="Calibri" w:cs="Calibri"/>
          <w:sz w:val="22"/>
          <w:szCs w:val="22"/>
        </w:rPr>
        <w:t>Matriz de Rastreo y Trazabilidad</w:t>
      </w:r>
      <w:r>
        <w:rPr>
          <w:rFonts w:ascii="Calibri" w:eastAsia="Times New Roman" w:hAnsi="Calibri" w:cs="Calibri"/>
          <w:sz w:val="22"/>
          <w:szCs w:val="22"/>
        </w:rPr>
        <w:t>, generada de manera inmutable bajo un resumen ejecutivo de alta disponibilidad.</w:t>
      </w:r>
    </w:p>
    <w:p w14:paraId="52C6E7B4" w14:textId="77777777" w:rsidR="00620527" w:rsidRDefault="00620527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Entregable CMMI (07) </w:t>
      </w:r>
      <w:r>
        <w:rPr>
          <w:rStyle w:val="Fuerte"/>
          <w:rFonts w:ascii="Calibri" w:eastAsia="Times New Roman" w:hAnsi="Calibri" w:cs="Calibri"/>
          <w:sz w:val="22"/>
          <w:szCs w:val="22"/>
        </w:rPr>
        <w:t>Memoria Técnica y Manual de Instalación</w:t>
      </w:r>
      <w:r>
        <w:rPr>
          <w:rFonts w:ascii="Calibri" w:eastAsia="Times New Roman" w:hAnsi="Calibri" w:cs="Calibri"/>
          <w:sz w:val="22"/>
          <w:szCs w:val="22"/>
        </w:rPr>
        <w:t>, garantizando que el equipo entrante posee la llave para regenerar los *environments* completos.</w:t>
      </w:r>
    </w:p>
    <w:p w14:paraId="33B3D934" w14:textId="77777777" w:rsidR="00620527" w:rsidRDefault="00620527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Con el presente, se testifica que los conductos de despliegue, la barrera de seguridad de código y el flujo de generación documental se transfieren en óptimo estado de operación.</w:t>
      </w:r>
    </w:p>
    <w:sectPr w:rsidR="0062052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BD03B0A"/>
    <w:multiLevelType w:val="multilevel"/>
    <w:tmpl w:val="F042D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444374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3F9"/>
    <w:rsid w:val="000263F9"/>
    <w:rsid w:val="00620527"/>
    <w:rsid w:val="006930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15E7C05"/>
  <w15:chartTrackingRefBased/>
  <w15:docId w15:val="{3B3A24F0-9E6D-4893-AF82-B799825E95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spacing w:before="100" w:beforeAutospacing="1" w:after="100" w:afterAutospacing="1"/>
      <w:outlineLvl w:val="0"/>
    </w:pPr>
    <w:rPr>
      <w:b/>
      <w:bCs/>
      <w:color w:val="1F1F1F"/>
      <w:kern w:val="36"/>
      <w:sz w:val="48"/>
      <w:szCs w:val="48"/>
    </w:rPr>
  </w:style>
  <w:style w:type="paragraph" w:styleId="Ttulo2">
    <w:name w:val="heading 2"/>
    <w:basedOn w:val="Normal"/>
    <w:link w:val="Ttulo2Car"/>
    <w:uiPriority w:val="9"/>
    <w:qFormat/>
    <w:pPr>
      <w:spacing w:before="100" w:beforeAutospacing="1" w:after="100" w:afterAutospacing="1"/>
      <w:outlineLvl w:val="1"/>
    </w:pPr>
    <w:rPr>
      <w:b/>
      <w:bCs/>
      <w:color w:val="1F1F1F"/>
      <w:sz w:val="36"/>
      <w:szCs w:val="36"/>
    </w:rPr>
  </w:style>
  <w:style w:type="paragraph" w:styleId="Ttulo3">
    <w:name w:val="heading 3"/>
    <w:basedOn w:val="Normal"/>
    <w:link w:val="Ttulo3Car"/>
    <w:uiPriority w:val="9"/>
    <w:qFormat/>
    <w:pPr>
      <w:spacing w:before="100" w:beforeAutospacing="1" w:after="100" w:afterAutospacing="1"/>
      <w:outlineLvl w:val="2"/>
    </w:pPr>
    <w:rPr>
      <w:b/>
      <w:bCs/>
      <w:color w:val="1F1F1F"/>
      <w:sz w:val="27"/>
      <w:szCs w:val="27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pPr>
      <w:pBdr>
        <w:top w:val="single" w:sz="6" w:space="8" w:color="DDDDDD"/>
        <w:left w:val="single" w:sz="6" w:space="8" w:color="DDDDDD"/>
        <w:bottom w:val="single" w:sz="6" w:space="8" w:color="DDDDDD"/>
        <w:right w:val="single" w:sz="6" w:space="8" w:color="DDDDDD"/>
      </w:pBdr>
      <w:shd w:val="clear" w:color="auto" w:fill="F4F4F4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Fuerte">
    <w:name w:val="Strong"/>
    <w:basedOn w:val="Fuentedeprrafopredeter"/>
    <w:uiPriority w:val="22"/>
    <w:qFormat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Pr>
      <w:rFonts w:ascii="Courier New" w:eastAsiaTheme="minorEastAsia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440</Words>
  <Characters>2423</Characters>
  <Application>Microsoft Office Word</Application>
  <DocSecurity>0</DocSecurity>
  <Lines>20</Lines>
  <Paragraphs>5</Paragraphs>
  <ScaleCrop>false</ScaleCrop>
  <Company/>
  <LinksUpToDate>false</LinksUpToDate>
  <CharactersWithSpaces>2858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 Lelo de Larrea</dc:creator>
  <cp:keywords/>
  <dc:description/>
  <cp:lastModifiedBy>Victor Lelo de Larrea</cp:lastModifiedBy>
  <cp:revision>2</cp:revision>
  <dcterms:created xsi:type="dcterms:W3CDTF">2026-06-23T18:03:00Z</dcterms:created>
  <dcterms:modified xsi:type="dcterms:W3CDTF">2026-06-23T18:03:00Z</dcterms:modified>
</cp:coreProperties>
</file>