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7D502" w14:textId="77777777" w:rsidR="00E15261" w:rsidRDefault="00E15261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e Informe Mensual de Actividades (Handover Final)</w:t>
      </w:r>
    </w:p>
    <w:p w14:paraId="7F7371FC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0AE8BC9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1D97EA5D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6806AEC6" w14:textId="77777777" w:rsidR="00E15261" w:rsidRDefault="00E1526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F244FFC">
          <v:rect id="_x0000_i1025" style="width:0;height:1.5pt" o:hralign="center" o:hrstd="t" o:hr="t" fillcolor="#a0a0a0" stroked="f"/>
        </w:pict>
      </w:r>
    </w:p>
    <w:p w14:paraId="636BDC96" w14:textId="77777777" w:rsidR="00E15261" w:rsidRDefault="00E1526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 (Acta de Cierre)</w:t>
      </w:r>
    </w:p>
    <w:p w14:paraId="3BFA4D98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constituye el acta de cierre definitivo y entrega tecnológica correspondiente al cierre trimestral (y ciclo operativo) de las líneas de trabajo asignadas. Durante junio de 2026, la prioridad máxima fue consolidar el </w:t>
      </w:r>
      <w:r>
        <w:rPr>
          <w:rStyle w:val="Fuerte"/>
          <w:rFonts w:ascii="Calibri" w:hAnsi="Calibri" w:cs="Calibri"/>
          <w:sz w:val="22"/>
          <w:szCs w:val="22"/>
        </w:rPr>
        <w:t>Handover Institucional</w:t>
      </w:r>
      <w:r>
        <w:rPr>
          <w:rFonts w:ascii="Calibri" w:hAnsi="Calibri" w:cs="Calibri"/>
          <w:sz w:val="22"/>
          <w:szCs w:val="22"/>
        </w:rPr>
        <w:t xml:space="preserve"> de la Plataforma de Inteligencia Analítica </w:t>
      </w:r>
      <w:r>
        <w:rPr>
          <w:rStyle w:val="Fuerte"/>
          <w:rFonts w:ascii="Calibri" w:hAnsi="Calibri" w:cs="Calibri"/>
          <w:sz w:val="22"/>
          <w:szCs w:val="22"/>
        </w:rPr>
        <w:t>MUSEMS</w:t>
      </w:r>
      <w:r>
        <w:rPr>
          <w:rFonts w:ascii="Calibri" w:hAnsi="Calibri" w:cs="Calibri"/>
          <w:sz w:val="22"/>
          <w:szCs w:val="22"/>
        </w:rPr>
        <w:t>, alcanzando su estado certificado *Release Candidate 1 (RC1)*, desplegado exitosamente en el ambiente de Aseguramiento de Calidad (QA).</w:t>
      </w:r>
    </w:p>
    <w:p w14:paraId="0C7F97AA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Asimismo, se expide la constancia formal de que el proyecto </w:t>
      </w:r>
      <w:r>
        <w:rPr>
          <w:rStyle w:val="Fuerte"/>
          <w:rFonts w:ascii="Calibri" w:hAnsi="Calibri" w:cs="Calibri"/>
          <w:sz w:val="22"/>
          <w:szCs w:val="22"/>
        </w:rPr>
        <w:t>Vida Saludable (Fase 2)</w:t>
      </w:r>
      <w:r>
        <w:rPr>
          <w:rFonts w:ascii="Calibri" w:hAnsi="Calibri" w:cs="Calibri"/>
          <w:sz w:val="22"/>
          <w:szCs w:val="22"/>
        </w:rPr>
        <w:t xml:space="preserve"> fue congelado en un estado óptimo de migración ("Infraestructura Lista", "Documentación Completa"), salvaguardando sus activos para futuras etapas. El ciclo culmina entregando repositorios libres de vulnerabilidades críticas, metodologías DevSecOps integradas y una matriz de trazabilidad certificada al 100%.</w:t>
      </w:r>
    </w:p>
    <w:p w14:paraId="15EA0743" w14:textId="77777777" w:rsidR="00E15261" w:rsidRDefault="00E1526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Plataforma y Despliegues (MUSEMS)</w:t>
      </w:r>
    </w:p>
    <w:p w14:paraId="4E255926" w14:textId="77777777" w:rsidR="00E15261" w:rsidRDefault="00E1526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Despliegue en Ambiente de Aseguramiento (QA)</w:t>
      </w:r>
    </w:p>
    <w:p w14:paraId="09D9EF6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la plataforma MUSEMS completamente funcional, parametrizada y configurada bajo la arquitectura cliente-servidor (FastAPI + React 19).</w:t>
      </w:r>
    </w:p>
    <w:p w14:paraId="08C23224" w14:textId="77777777" w:rsidR="00E15261" w:rsidRDefault="00E1526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Acceso a la Plataforma QA:</w:t>
      </w:r>
      <w:r>
        <w:rPr>
          <w:rFonts w:ascii="Calibri" w:eastAsia="Times New Roman" w:hAnsi="Calibri" w:cs="Calibri"/>
          <w:sz w:val="22"/>
          <w:szCs w:val="22"/>
        </w:rPr>
        <w:t xml:space="preserve"> [http://168.255.101.231:8086/](http://168.255.101.231:8086/)</w:t>
      </w:r>
    </w:p>
    <w:p w14:paraId="1D0A3BE3" w14:textId="77777777" w:rsidR="00E15261" w:rsidRDefault="00E1526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Gestión de Base de Datos:</w:t>
      </w:r>
      <w:r>
        <w:rPr>
          <w:rFonts w:ascii="Calibri" w:eastAsia="Times New Roman" w:hAnsi="Calibri" w:cs="Calibri"/>
          <w:sz w:val="22"/>
          <w:szCs w:val="22"/>
        </w:rPr>
        <w:t xml:space="preserve"> Las conexiones se enlazan exitosamente mediante un *Thin Mode Pool* de Oracle hacia el esquema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  <w:sz w:val="22"/>
          <w:szCs w:val="22"/>
        </w:rPr>
        <w:t xml:space="preserve"> ubicado en el clúster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CA83EC5" w14:textId="77777777" w:rsidR="00E15261" w:rsidRDefault="00E1526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Entrega de Usuarios de Administración y Seguridad</w:t>
      </w:r>
    </w:p>
    <w:p w14:paraId="4D7CD41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parte de la entrega de llaves y control de accesos basados en roles (RBAC), se transfieren cinco (5) cuentas con privilegios de </w:t>
      </w:r>
      <w:r>
        <w:rPr>
          <w:rStyle w:val="CdigoHTML"/>
        </w:rPr>
        <w:t>ADMINISTRADOR</w:t>
      </w:r>
      <w:r>
        <w:rPr>
          <w:rFonts w:ascii="Calibri" w:hAnsi="Calibri" w:cs="Calibri"/>
          <w:sz w:val="22"/>
          <w:szCs w:val="22"/>
        </w:rPr>
        <w:t xml:space="preserve"> habilitadas y listas para operar la plataforma en QA, todas con el *passphrase* de entrega </w:t>
      </w:r>
      <w:r>
        <w:rPr>
          <w:rStyle w:val="CdigoHTML"/>
        </w:rPr>
        <w:t>musems2026</w:t>
      </w:r>
      <w:r>
        <w:rPr>
          <w:rFonts w:ascii="Calibri" w:hAnsi="Calibri" w:cs="Calibri"/>
          <w:sz w:val="22"/>
          <w:szCs w:val="22"/>
        </w:rPr>
        <w:t>:</w:t>
      </w:r>
    </w:p>
    <w:p w14:paraId="48E19654" w14:textId="77777777" w:rsidR="00E15261" w:rsidRDefault="00E1526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lastRenderedPageBreak/>
        <w:t>david</w:t>
      </w:r>
      <w:r>
        <w:rPr>
          <w:rFonts w:ascii="Calibri" w:eastAsia="Times New Roman" w:hAnsi="Calibri" w:cs="Calibri"/>
          <w:sz w:val="22"/>
          <w:szCs w:val="22"/>
        </w:rPr>
        <w:t xml:space="preserve"> (David León)</w:t>
      </w:r>
    </w:p>
    <w:p w14:paraId="1150E6CA" w14:textId="77777777" w:rsidR="00E15261" w:rsidRDefault="00E1526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abraham</w:t>
      </w:r>
      <w:r>
        <w:rPr>
          <w:rFonts w:ascii="Calibri" w:eastAsia="Times New Roman" w:hAnsi="Calibri" w:cs="Calibri"/>
          <w:sz w:val="22"/>
          <w:szCs w:val="22"/>
        </w:rPr>
        <w:t xml:space="preserve"> (Abraham Aguirre)</w:t>
      </w:r>
    </w:p>
    <w:p w14:paraId="67B297CA" w14:textId="77777777" w:rsidR="00E15261" w:rsidRDefault="00E1526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valeria</w:t>
      </w:r>
      <w:r>
        <w:rPr>
          <w:rFonts w:ascii="Calibri" w:eastAsia="Times New Roman" w:hAnsi="Calibri" w:cs="Calibri"/>
          <w:sz w:val="22"/>
          <w:szCs w:val="22"/>
        </w:rPr>
        <w:t xml:space="preserve"> (Valeria Lezama)</w:t>
      </w:r>
    </w:p>
    <w:p w14:paraId="49761A5E" w14:textId="77777777" w:rsidR="00E15261" w:rsidRDefault="00E1526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dolores</w:t>
      </w:r>
      <w:r>
        <w:rPr>
          <w:rFonts w:ascii="Calibri" w:eastAsia="Times New Roman" w:hAnsi="Calibri" w:cs="Calibri"/>
          <w:sz w:val="22"/>
          <w:szCs w:val="22"/>
        </w:rPr>
        <w:t xml:space="preserve"> (Dolores Sánchez)</w:t>
      </w:r>
    </w:p>
    <w:p w14:paraId="52DE56E6" w14:textId="77777777" w:rsidR="00E15261" w:rsidRDefault="00E1526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eduardo</w:t>
      </w:r>
      <w:r>
        <w:rPr>
          <w:rFonts w:ascii="Calibri" w:eastAsia="Times New Roman" w:hAnsi="Calibri" w:cs="Calibri"/>
          <w:sz w:val="22"/>
          <w:szCs w:val="22"/>
        </w:rPr>
        <w:t xml:space="preserve"> (Eduardo Hernández)</w:t>
      </w:r>
    </w:p>
    <w:p w14:paraId="36B88BB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arquitectura de estas cuentas incluye protección *Hard-Delete*, garantizando la permanencia inalterable del usuario administrador root (ID 1).</w:t>
      </w:r>
    </w:p>
    <w:p w14:paraId="60D50DB3" w14:textId="77777777" w:rsidR="00E15261" w:rsidRDefault="00E1526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Optimización de Procesos Documentales e Integración Continua</w:t>
      </w:r>
    </w:p>
    <w:p w14:paraId="687B6F88" w14:textId="77777777" w:rsidR="00E15261" w:rsidRDefault="00E1526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Automatización de Documentación Gubernamental (ETL Documental)</w:t>
      </w:r>
    </w:p>
    <w:p w14:paraId="627296A3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Uno de los hitos tecnológicos de cierre ha sido la conceptualización y desarrollo del script central de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 xml:space="preserve">. Esta herramienta opera como un Pipeline ETL documental: procesa automáticamente diagramas Mermaid e imágenes embebidas de todo el código fuente, y transpila los manuales de Markdown nativo a sus contrapartes oficiales en 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>. Esto asegura un acervo técnico corporativo inmutable, legible y listo para firmas en futuras auditorías de la Secretaría de Educación Pública.</w:t>
      </w:r>
    </w:p>
    <w:p w14:paraId="6109CA13" w14:textId="77777777" w:rsidR="00E15261" w:rsidRDefault="00E1526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Aseguramiento DevSecOps (Cero Vulnerabilidades)</w:t>
      </w:r>
    </w:p>
    <w:p w14:paraId="4F9A1318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código entregado en la rama </w:t>
      </w:r>
      <w:r>
        <w:rPr>
          <w:rStyle w:val="CdigoHTML"/>
        </w:rPr>
        <w:t>main</w:t>
      </w:r>
      <w:r>
        <w:rPr>
          <w:rFonts w:ascii="Calibri" w:hAnsi="Calibri" w:cs="Calibri"/>
          <w:sz w:val="22"/>
          <w:szCs w:val="22"/>
        </w:rPr>
        <w:t xml:space="preserve"> superó todas las aduanas del *Security CI/CD*. Se hace constar que el </w:t>
      </w:r>
      <w:r>
        <w:rPr>
          <w:rStyle w:val="Fuerte"/>
          <w:rFonts w:ascii="Calibri" w:hAnsi="Calibri" w:cs="Calibri"/>
          <w:sz w:val="22"/>
          <w:szCs w:val="22"/>
        </w:rPr>
        <w:t>Dictamen de Vulnerabilidades (SAST/SCA) es APROBADO</w:t>
      </w:r>
      <w:r>
        <w:rPr>
          <w:rFonts w:ascii="Calibri" w:hAnsi="Calibri" w:cs="Calibri"/>
          <w:sz w:val="22"/>
          <w:szCs w:val="22"/>
        </w:rPr>
        <w:t xml:space="preserve">, certificando la mitigación del 100% de los hallazgos OWASP previamente identificados. Se ha blindado la API frente a fuerza bruta mediante *Rate Limiting* estricto y la dependencia criptográfica obsoleta se ha suplido por </w:t>
      </w:r>
      <w:r>
        <w:rPr>
          <w:rStyle w:val="CdigoHTML"/>
        </w:rPr>
        <w:t>bcrypt</w:t>
      </w:r>
      <w:r>
        <w:rPr>
          <w:rFonts w:ascii="Calibri" w:hAnsi="Calibri" w:cs="Calibri"/>
          <w:sz w:val="22"/>
          <w:szCs w:val="22"/>
        </w:rPr>
        <w:t xml:space="preserve"> nativo.</w:t>
      </w:r>
    </w:p>
    <w:p w14:paraId="64DB518A" w14:textId="77777777" w:rsidR="00E15261" w:rsidRDefault="00E1526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Estado Final: Proyecto Vida Saludable</w:t>
      </w:r>
    </w:p>
    <w:p w14:paraId="4CD40275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que el código y documentación del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>) se entregan congelados bajo estrictos parámetros de control de versiones. Las incidencias de exposición PII y cifrado GCM en el cliente IMSS han sido corregidas mediante código e integradas con *Unit Tests* y pruebas *End-to-End* en Cypress. La base tecnológica queda cimentada y lista para la ejecución del *Sprint 1* en cuanto se declare su reanudación administrativa.</w:t>
      </w:r>
    </w:p>
    <w:p w14:paraId="7C6F2ED9" w14:textId="77777777" w:rsidR="00E15261" w:rsidRDefault="00E1526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F1D61FE">
          <v:rect id="_x0000_i1026" style="width:0;height:1.5pt" o:hralign="center" o:hrstd="t" o:hr="t" fillcolor="#a0a0a0" stroked="f"/>
        </w:pict>
      </w:r>
    </w:p>
    <w:p w14:paraId="50652DB2" w14:textId="77777777" w:rsidR="00E15261" w:rsidRDefault="00E1526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5496F10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Como constancia de terminación de labores, se transfieren a la dependencia los siguientes componentes certificados y aprobados:</w:t>
      </w:r>
    </w:p>
    <w:p w14:paraId="3DA9CB46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Fuente y Repositorios:</w:t>
      </w:r>
      <w:r>
        <w:rPr>
          <w:rFonts w:ascii="Calibri" w:hAnsi="Calibri" w:cs="Calibri"/>
          <w:sz w:val="22"/>
          <w:szCs w:val="22"/>
        </w:rPr>
        <w:t xml:space="preserve"> Repositorios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debidamente consolidados, incluyendo todas las ramas, pipelines CI/CD y utilerías shell (</w:t>
      </w:r>
      <w:r>
        <w:rPr>
          <w:rStyle w:val="CdigoHTML"/>
        </w:rPr>
        <w:t>.bat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.ps1</w:t>
      </w:r>
      <w:r>
        <w:rPr>
          <w:rFonts w:ascii="Calibri" w:hAnsi="Calibri" w:cs="Calibri"/>
          <w:sz w:val="22"/>
          <w:szCs w:val="22"/>
        </w:rPr>
        <w:t>) para control de servidores.</w:t>
      </w:r>
    </w:p>
    <w:p w14:paraId="35E81093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Artefactos CMMI y Documentación Técnica:</w:t>
      </w:r>
      <w:r>
        <w:rPr>
          <w:rFonts w:ascii="Calibri" w:hAnsi="Calibri" w:cs="Calibri"/>
          <w:sz w:val="22"/>
          <w:szCs w:val="22"/>
        </w:rPr>
        <w:t xml:space="preserve"> Colección de 13 entregables normativos (Arquitectura, Reglas de Negocio, Casos de Uso, Manual de Instalación, Pruebas de Estrés, etc.) generados vía código.</w:t>
      </w:r>
    </w:p>
    <w:p w14:paraId="22D0B092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Matriz de Rastreo y Trazabilidad:</w:t>
      </w:r>
      <w:r>
        <w:rPr>
          <w:rFonts w:ascii="Calibri" w:hAnsi="Calibri" w:cs="Calibri"/>
          <w:sz w:val="22"/>
          <w:szCs w:val="22"/>
        </w:rPr>
        <w:t xml:space="preserve"> Documento ejecutivo (Versión 4.1) que certifica la cobertura total; mapeando todos los requerimientos funcionales hacia las vistas de Oracle </w:t>
      </w:r>
      <w:r>
        <w:rPr>
          <w:rStyle w:val="CdigoHTML"/>
        </w:rPr>
        <w:t>VW_BI_MUSEMS_*</w:t>
      </w:r>
      <w:r>
        <w:rPr>
          <w:rFonts w:ascii="Calibri" w:hAnsi="Calibri" w:cs="Calibri"/>
          <w:sz w:val="22"/>
          <w:szCs w:val="22"/>
        </w:rPr>
        <w:t xml:space="preserve"> y comprobando su viabilidad mediante casos de prueba (QA) satisfactorios.</w:t>
      </w:r>
    </w:p>
    <w:p w14:paraId="3B128A5C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Gobierno de Datos y PII:</w:t>
      </w:r>
      <w:r>
        <w:rPr>
          <w:rFonts w:ascii="Calibri" w:hAnsi="Calibri" w:cs="Calibri"/>
          <w:sz w:val="22"/>
          <w:szCs w:val="22"/>
        </w:rPr>
        <w:t xml:space="preserve"> Diccionario de Datos actualizado (incluyendo la vista central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 xml:space="preserve">) y los registros inmutables de auditoría de seguridad implementados en el esquema </w:t>
      </w:r>
      <w:r>
        <w:rPr>
          <w:rStyle w:val="CdigoHTML"/>
        </w:rPr>
        <w:t>MV_MUSEMS_IDENTITY_HASH</w:t>
      </w:r>
      <w:r>
        <w:rPr>
          <w:rFonts w:ascii="Calibri" w:hAnsi="Calibri" w:cs="Calibri"/>
          <w:sz w:val="22"/>
          <w:szCs w:val="22"/>
        </w:rPr>
        <w:t>.</w:t>
      </w:r>
    </w:p>
    <w:p w14:paraId="5152C389" w14:textId="77777777" w:rsidR="00E15261" w:rsidRDefault="00E1526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este inventario, se formaliza la entrega integral del sistema y se transfiere de manera total el conocimiento, la infraestructura técnica y el control operativo al equipo receptor.</w:t>
      </w:r>
    </w:p>
    <w:sectPr w:rsidR="00E152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F54E9"/>
    <w:multiLevelType w:val="multilevel"/>
    <w:tmpl w:val="7D6C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331CC5"/>
    <w:multiLevelType w:val="multilevel"/>
    <w:tmpl w:val="0B5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945152">
    <w:abstractNumId w:val="1"/>
  </w:num>
  <w:num w:numId="2" w16cid:durableId="1994681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AED"/>
    <w:rsid w:val="00A71AED"/>
    <w:rsid w:val="00E15261"/>
    <w:rsid w:val="00FE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B918A4"/>
  <w15:chartTrackingRefBased/>
  <w15:docId w15:val="{E458D3A2-5F2F-4213-8865-7A0F145B0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777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2026-06-23T18:03:00Z</dcterms:created>
  <dcterms:modified xsi:type="dcterms:W3CDTF">2026-06-23T18:03:00Z</dcterms:modified>
</cp:coreProperties>
</file>