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8C36" w14:textId="77777777" w:rsidR="00636C02" w:rsidRDefault="00636C02">
      <w:pPr>
        <w:pStyle w:val="Ttulo1"/>
        <w:rPr>
          <w:rFonts w:ascii="Calibri" w:eastAsia="Times New Roman" w:hAnsi="Calibri" w:cs="Calibri"/>
        </w:rPr>
      </w:pPr>
      <w:bookmarkStart w:id="0" w:name="_Toc217296775"/>
      <w:bookmarkStart w:id="1" w:name="_Toc219739752"/>
      <w:bookmarkStart w:id="2" w:name="_Toc221820033"/>
      <w:r>
        <w:rPr>
          <w:rFonts w:ascii="Calibri" w:eastAsia="Times New Roman" w:hAnsi="Calibri" w:cs="Calibri"/>
        </w:rPr>
        <w:t>Informe Mensual de Procesos de Ingesta y Transformación (ETL/ELT)</w:t>
      </w:r>
    </w:p>
    <w:p w14:paraId="2FBFC5D1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Mes:</w:t>
      </w:r>
      <w:r>
        <w:rPr>
          <w:rFonts w:ascii="Calibri" w:hAnsi="Calibri" w:cs="Calibri"/>
          <w:sz w:val="22"/>
          <w:szCs w:val="22"/>
        </w:rPr>
        <w:t xml:space="preserve"> Abril 2026 </w:t>
      </w:r>
    </w:p>
    <w:p w14:paraId="6B14A05D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Larea Polanco </w:t>
      </w:r>
    </w:p>
    <w:p w14:paraId="11590DE5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</w:t>
      </w:r>
    </w:p>
    <w:p w14:paraId="2076B248" w14:textId="77777777" w:rsidR="00636C02" w:rsidRDefault="00636C0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B13B3AA">
          <v:rect id="_x0000_i1025" style="width:0;height:1.5pt" o:hralign="center" o:hrstd="t" o:hr="t" fillcolor="#a0a0a0" stroked="f"/>
        </w:pict>
      </w:r>
    </w:p>
    <w:p w14:paraId="04A22E74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Objeto del Entregable</w:t>
      </w:r>
    </w:p>
    <w:p w14:paraId="5CDCD7C1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Presentar el avance mensual de abril de 2026 sobre el desarrollo y utilización de procesos de ingesta y transformación (ETL/ELT), incluyendo especificaciones para formatos CSV, XLSX, JSON y XML, así como validaciones y depuración.</w:t>
      </w:r>
    </w:p>
    <w:p w14:paraId="1F4DE91F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Alcance del Avance de Abril</w:t>
      </w:r>
    </w:p>
    <w:p w14:paraId="0AF51438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definió la estructura base de los procesos de ingesta y transformación necesarios para operar con múltiples formatos de archivo dentro del nuevo contrato, estableciendo reglas iniciales de validación, depuración y mapeo hacia estructuras de destino.</w:t>
      </w:r>
    </w:p>
    <w:p w14:paraId="77156688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revisión técnica realizada este mes permitió precisar que, dentro del proyecto Vida Saludable, el proceso actualmente identificado con mayor claridad no corresponde todavía a una plataforma ETL/ELT multiformato plenamente implementada, sino a un pipeline operativo con los siguientes componentes:</w:t>
      </w:r>
    </w:p>
    <w:p w14:paraId="0B0B6679" w14:textId="77777777" w:rsidR="00636C02" w:rsidRDefault="00636C02" w:rsidP="00636C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extracción de registros desde PostgreSQL;</w:t>
      </w:r>
    </w:p>
    <w:p w14:paraId="4F66D532" w14:textId="77777777" w:rsidR="00636C02" w:rsidRDefault="00636C02" w:rsidP="00636C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transformación y enriquecimiento en memoria antes de la consulta externa;</w:t>
      </w:r>
    </w:p>
    <w:p w14:paraId="370DC392" w14:textId="77777777" w:rsidR="00636C02" w:rsidRDefault="00636C02" w:rsidP="00636C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carga de resultados operativos en tablas de control;</w:t>
      </w:r>
    </w:p>
    <w:p w14:paraId="26147ACD" w14:textId="77777777" w:rsidR="00636C02" w:rsidRDefault="00636C02" w:rsidP="00636C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almacenamiento de evidencias documentales en archivos PDF;</w:t>
      </w:r>
    </w:p>
    <w:p w14:paraId="7AB7DE3D" w14:textId="77777777" w:rsidR="00636C02" w:rsidRDefault="00636C02" w:rsidP="00636C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registro histórico de eventos y reprocesos.</w:t>
      </w:r>
    </w:p>
    <w:p w14:paraId="7AD5CD35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 lo tanto, el avance de abril consistió en documentar el flujo ETL/ELT efectivamente observable en el código y dejar como especificación contractual las reglas que deberán extenderse posteriormente a formatos CSV, XLSX, JSON y XML cua</w:t>
      </w:r>
      <w:r>
        <w:rPr>
          <w:rFonts w:ascii="Calibri" w:hAnsi="Calibri" w:cs="Calibri"/>
          <w:sz w:val="22"/>
          <w:szCs w:val="22"/>
        </w:rPr>
        <w:lastRenderedPageBreak/>
        <w:t>ndo esos insumos entren formalmente en operación.</w:t>
      </w:r>
    </w:p>
    <w:p w14:paraId="772E5E9D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Flujo ETL/ELT Real Identificado en Abril</w:t>
      </w:r>
    </w:p>
    <w:p w14:paraId="48F0B0AF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análisis del repositorio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permitió identificar un flujo operativo con comportamiento equivalente a un proceso ETL/ELT, aunque orientado a procesamiento institucional y descarga de reportes.</w:t>
      </w:r>
    </w:p>
    <w:p w14:paraId="54B708F5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Extracción</w:t>
      </w:r>
    </w:p>
    <w:p w14:paraId="0CDF819D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fase de extracción se localiza principalmente en </w:t>
      </w:r>
      <w:r>
        <w:rPr>
          <w:rStyle w:val="CdigoHTML"/>
        </w:rPr>
        <w:t>db.py</w:t>
      </w:r>
      <w:r>
        <w:rPr>
          <w:rFonts w:ascii="Calibri" w:hAnsi="Calibri" w:cs="Calibri"/>
          <w:sz w:val="22"/>
          <w:szCs w:val="22"/>
        </w:rPr>
        <w:t xml:space="preserve">, donde se consulta PostgreSQL para recuperar registros de </w:t>
      </w:r>
      <w:r>
        <w:rPr>
          <w:rStyle w:val="CdigoHTML"/>
        </w:rPr>
        <w:t>menor_evaluado</w:t>
      </w:r>
      <w:r>
        <w:rPr>
          <w:rFonts w:ascii="Calibri" w:hAnsi="Calibri" w:cs="Calibri"/>
          <w:sz w:val="22"/>
          <w:szCs w:val="22"/>
        </w:rPr>
        <w:t xml:space="preserve"> y enriquecerlos con </w:t>
      </w:r>
      <w:r>
        <w:rPr>
          <w:rStyle w:val="CdigoHTML"/>
        </w:rPr>
        <w:t>catalogo_cct</w:t>
      </w:r>
      <w:r>
        <w:rPr>
          <w:rFonts w:ascii="Calibri" w:hAnsi="Calibri" w:cs="Calibri"/>
          <w:sz w:val="22"/>
          <w:szCs w:val="22"/>
        </w:rPr>
        <w:t>. Esta extracción filtra por entidad y, cuando aplica, por ciclo escolar.</w:t>
      </w:r>
    </w:p>
    <w:p w14:paraId="757C1902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Los campos recuperados incluyen:</w:t>
      </w:r>
    </w:p>
    <w:p w14:paraId="34D84BAD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cve_escuela</w:t>
      </w:r>
      <w:r>
        <w:rPr>
          <w:rFonts w:ascii="Calibri" w:eastAsia="Times New Roman" w:hAnsi="Calibri" w:cs="Calibri"/>
        </w:rPr>
        <w:t xml:space="preserve"> como CCT;</w:t>
      </w:r>
    </w:p>
    <w:p w14:paraId="68DBFFB1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id_turno</w:t>
      </w:r>
      <w:r>
        <w:rPr>
          <w:rFonts w:ascii="Calibri" w:eastAsia="Times New Roman" w:hAnsi="Calibri" w:cs="Calibri"/>
        </w:rPr>
        <w:t>;</w:t>
      </w:r>
    </w:p>
    <w:p w14:paraId="5AED0CF4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cve_curp</w:t>
      </w:r>
      <w:r>
        <w:rPr>
          <w:rFonts w:ascii="Calibri" w:eastAsia="Times New Roman" w:hAnsi="Calibri" w:cs="Calibri"/>
        </w:rPr>
        <w:t>;</w:t>
      </w:r>
    </w:p>
    <w:p w14:paraId="5316DCCF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correo y teléfono de referencia;</w:t>
      </w:r>
    </w:p>
    <w:p w14:paraId="2F21C7D1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estatus_reporte</w:t>
      </w:r>
      <w:r>
        <w:rPr>
          <w:rFonts w:ascii="Calibri" w:eastAsia="Times New Roman" w:hAnsi="Calibri" w:cs="Calibri"/>
        </w:rPr>
        <w:t>;</w:t>
      </w:r>
    </w:p>
    <w:p w14:paraId="3DFB75DE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id_ciclo_escolar</w:t>
      </w:r>
      <w:r>
        <w:rPr>
          <w:rFonts w:ascii="Calibri" w:eastAsia="Times New Roman" w:hAnsi="Calibri" w:cs="Calibri"/>
        </w:rPr>
        <w:t>;</w:t>
      </w:r>
    </w:p>
    <w:p w14:paraId="72E5906D" w14:textId="77777777" w:rsidR="00636C02" w:rsidRDefault="00636C02" w:rsidP="00636C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nombre de escuela, estado, municipio, localidad y turno desde el catálogo institucional.</w:t>
      </w:r>
    </w:p>
    <w:p w14:paraId="6BE28A13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Transformación</w:t>
      </w:r>
    </w:p>
    <w:p w14:paraId="6CD7EB11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transformación ocurre antes y durante el procesamiento individual de cada CURP. En esta etapa se realizan acciones como:</w:t>
      </w:r>
    </w:p>
    <w:p w14:paraId="3261E83B" w14:textId="77777777" w:rsidR="00636C02" w:rsidRDefault="00636C02" w:rsidP="00636C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normalización de parámetros de entrada;</w:t>
      </w:r>
    </w:p>
    <w:p w14:paraId="7116FF6A" w14:textId="77777777" w:rsidR="00636C02" w:rsidRDefault="00636C02" w:rsidP="00636C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adición del identificador de ciclo escolar al nombre del lote;</w:t>
      </w:r>
    </w:p>
    <w:p w14:paraId="1A517980" w14:textId="77777777" w:rsidR="00636C02" w:rsidRDefault="00636C02" w:rsidP="00636C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normalización de</w:t>
      </w:r>
      <w:r>
        <w:rPr>
          <w:rFonts w:ascii="Calibri" w:eastAsia="Times New Roman" w:hAnsi="Calibri" w:cs="Calibri"/>
        </w:rPr>
        <w:lastRenderedPageBreak/>
        <w:t xml:space="preserve"> segmentos para rutas de salida;</w:t>
      </w:r>
    </w:p>
    <w:p w14:paraId="42AEDDDF" w14:textId="77777777" w:rsidR="00636C02" w:rsidRDefault="00636C02" w:rsidP="00636C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empaquetado de parámetros requeridos por el servicio IMSS;</w:t>
      </w:r>
    </w:p>
    <w:p w14:paraId="49827A98" w14:textId="77777777" w:rsidR="00636C02" w:rsidRDefault="00636C02" w:rsidP="00636C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derivación del estado final de descarga y del mensaje operativo asociado.</w:t>
      </w:r>
    </w:p>
    <w:p w14:paraId="2DA5F71B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Carga</w:t>
      </w:r>
    </w:p>
    <w:p w14:paraId="53059123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La carga identificada no se limita a una tabla final. Abril permitió documentar tres destinos de carga:</w:t>
      </w:r>
    </w:p>
    <w:p w14:paraId="179DCCC0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Carga transaccional en la tabla </w:t>
      </w:r>
      <w:r>
        <w:rPr>
          <w:rStyle w:val="CdigoHTML"/>
        </w:rPr>
        <w:t>Lote</w:t>
      </w:r>
      <w:r>
        <w:rPr>
          <w:rFonts w:ascii="Calibri" w:hAnsi="Calibri" w:cs="Calibri"/>
          <w:sz w:val="22"/>
          <w:szCs w:val="22"/>
        </w:rPr>
        <w:t>, donde se registra la ejecución del proceso.</w:t>
      </w:r>
    </w:p>
    <w:p w14:paraId="1BC49DD8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Carga operacional en </w:t>
      </w:r>
      <w:r>
        <w:rPr>
          <w:rStyle w:val="CdigoHTML"/>
        </w:rPr>
        <w:t>CurpProcesada</w:t>
      </w:r>
      <w:r>
        <w:rPr>
          <w:rFonts w:ascii="Calibri" w:hAnsi="Calibri" w:cs="Calibri"/>
          <w:sz w:val="22"/>
          <w:szCs w:val="22"/>
        </w:rPr>
        <w:t>, donde se persiste el resultado por CURP.</w:t>
      </w:r>
    </w:p>
    <w:p w14:paraId="60E834DE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Carga de trazabilidad en </w:t>
      </w:r>
      <w:r>
        <w:rPr>
          <w:rStyle w:val="CdigoHTML"/>
        </w:rPr>
        <w:t>BitacoraEvento</w:t>
      </w:r>
      <w:r>
        <w:rPr>
          <w:rFonts w:ascii="Calibri" w:hAnsi="Calibri" w:cs="Calibri"/>
          <w:sz w:val="22"/>
          <w:szCs w:val="22"/>
        </w:rPr>
        <w:t>, donde se almacenan mensajes, fecha y tipo de evento.</w:t>
      </w:r>
    </w:p>
    <w:p w14:paraId="47411AD7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Adicionalmente, el flujo incluye carga a sistema de archivos mediante la escritura de PDF en una estructura jerárquica por estado, CCT y ciclo escolar.</w:t>
      </w:r>
    </w:p>
    <w:p w14:paraId="27AF7D0E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Reproceso y reanudación</w:t>
      </w:r>
    </w:p>
    <w:p w14:paraId="125D387D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También se identificaron rutas operativas equivalentes a subprocesos ETL complementarios:</w:t>
      </w:r>
    </w:p>
    <w:p w14:paraId="1D4CC1F1" w14:textId="77777777" w:rsidR="00636C02" w:rsidRDefault="00636C02" w:rsidP="00636C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run_reproceso.py</w:t>
      </w:r>
      <w:r>
        <w:rPr>
          <w:rFonts w:ascii="Calibri" w:eastAsia="Times New Roman" w:hAnsi="Calibri" w:cs="Calibri"/>
        </w:rPr>
        <w:t xml:space="preserve">, que vuelve a procesar registros con </w:t>
      </w:r>
      <w:r>
        <w:rPr>
          <w:rStyle w:val="CdigoHTML"/>
        </w:rPr>
        <w:t>estado_descarga = 'FALLO'</w:t>
      </w:r>
      <w:r>
        <w:rPr>
          <w:rFonts w:ascii="Calibri" w:eastAsia="Times New Roman" w:hAnsi="Calibri" w:cs="Calibri"/>
        </w:rPr>
        <w:t>;</w:t>
      </w:r>
    </w:p>
    <w:p w14:paraId="24B90CAD" w14:textId="77777777" w:rsidR="00636C02" w:rsidRDefault="00636C02" w:rsidP="00636C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CdigoHTML"/>
        </w:rPr>
        <w:t>run_resume.py</w:t>
      </w:r>
      <w:r>
        <w:rPr>
          <w:rFonts w:ascii="Calibri" w:eastAsia="Times New Roman" w:hAnsi="Calibri" w:cs="Calibri"/>
        </w:rPr>
        <w:t>, que recupera registros pendientes para un lote aún en ejecución.</w:t>
      </w:r>
    </w:p>
    <w:p w14:paraId="6A27FF51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Estas variantes son relevantes porque introducen reglas de depuración, continuidad operativa y control de cargas incompletas.</w:t>
      </w:r>
    </w:p>
    <w:p w14:paraId="1B7AC8A7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Origen, Transformación y Destino de Datos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3516"/>
        <w:gridCol w:w="4155"/>
      </w:tblGrid>
      <w:tr w:rsidR="00636C02" w14:paraId="6511F61A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707CAB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6B895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Implementación observada en abril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05A3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Evidencia técnica</w:t>
            </w:r>
          </w:p>
        </w:tc>
      </w:tr>
      <w:tr w:rsidR="00636C02" w14:paraId="6C9EC438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1B228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Extracción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88224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Consulta a PostgreSQL sobre </w:t>
            </w:r>
            <w:r>
              <w:rPr>
                <w:rStyle w:val="CdigoHTML"/>
              </w:rPr>
              <w:t>menor_evaluado</w:t>
            </w:r>
            <w:r>
              <w:rPr>
                <w:rFonts w:ascii="Calibri" w:eastAsia="Times New Roman" w:hAnsi="Calibri" w:cs="Calibri"/>
              </w:rPr>
              <w:t xml:space="preserve"> y </w:t>
            </w: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5648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fetch_alumnos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fetch_alumnos_fallidos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fetch_alumnos_pendientes</w:t>
            </w:r>
          </w:p>
        </w:tc>
      </w:tr>
      <w:tr w:rsidR="00636C02" w14:paraId="156D60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DA7A21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Transformación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8C100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Normalización de parámetros, enriquecimiento por entidad/CCT, preparación de lotes y rutas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50377B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register_batch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_normalize_segment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_build_output_dir</w:t>
            </w:r>
          </w:p>
        </w:tc>
      </w:tr>
      <w:tr w:rsidR="00636C02" w14:paraId="5A4465B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19CB82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externa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A108C1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cifrada al servicio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D9955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_call_ws_imss</w:t>
            </w:r>
          </w:p>
        </w:tc>
      </w:tr>
      <w:tr w:rsidR="00636C02" w14:paraId="5A0C16F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FF997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Carga operativa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AF3E9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Inserción y actualización de </w:t>
            </w: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y </w:t>
            </w:r>
            <w:r>
              <w:rPr>
                <w:rStyle w:val="CdigoHTML"/>
              </w:rPr>
              <w:t>BitacoraEvento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0161A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register_batch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_process_single</w:t>
            </w:r>
          </w:p>
        </w:tc>
      </w:tr>
      <w:tr w:rsidR="00636C02" w14:paraId="64AE82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DAC12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Carga documental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0B57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Escritura de PDF en estructura de carpetas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AE1D7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_process_single</w:t>
            </w:r>
          </w:p>
        </w:tc>
      </w:tr>
      <w:tr w:rsidR="00636C02" w14:paraId="012EEAC6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DA0180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Reproceso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783C80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Reejecución de fallos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B5F2C3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run_reproceso.py</w:t>
            </w:r>
          </w:p>
        </w:tc>
      </w:tr>
      <w:tr w:rsidR="00636C02" w14:paraId="0DAC35B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F16FC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Reanudación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5A8B9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Recuperación de pendientes de un lote en ejecución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AB4613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run_resume.py</w:t>
            </w:r>
          </w:p>
        </w:tc>
      </w:tr>
    </w:tbl>
    <w:p w14:paraId="2295C67C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Formatos de Archivo Considerados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818"/>
        <w:gridCol w:w="4566"/>
      </w:tblGrid>
      <w:tr w:rsidR="00636C02" w14:paraId="1CBEFAB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C5970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0081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Uso esperado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B30B23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Estado en abril</w:t>
            </w:r>
          </w:p>
        </w:tc>
      </w:tr>
      <w:tr w:rsidR="00636C02" w14:paraId="0BACC6A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A4C60C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CSV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4EA175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Procesamiento masivo por lotes o exportación intermedia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95034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Especificación base definida, sin flujo productivo documentado en abril</w:t>
            </w:r>
          </w:p>
        </w:tc>
      </w:tr>
      <w:tr w:rsidR="00636C02" w14:paraId="036483E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4D4C5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XLSX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772389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Insumos administrativos o consolidados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9B2EF0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Estructura objetivo identificada, pendiente de implementación</w:t>
            </w:r>
          </w:p>
        </w:tc>
      </w:tr>
      <w:tr w:rsidR="00636C02" w14:paraId="4DB706E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242EA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JSON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1E5CF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Intercambio estructurado con servicios o procesos intermedios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E12E39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Uso parcial observado en respuestas del servicio IMSS</w:t>
            </w:r>
          </w:p>
        </w:tc>
      </w:tr>
      <w:tr w:rsidR="00636C02" w14:paraId="21E642F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912BE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XML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4E6F9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con formatos institucionales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1D08C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Considerado como requerimiento contractual, sin evidencia operativa en abril</w:t>
            </w:r>
          </w:p>
        </w:tc>
      </w:tr>
    </w:tbl>
    <w:p w14:paraId="19A49A16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términos estrictos, abril solo permitió observar consumo directo de base de datos, respuestas del servicio en PDF o JSON y escritura de archivos PDF. Los demás formatos permanecen como parte de la especificación a implementar o formalizar en meses posteriores.</w:t>
      </w:r>
    </w:p>
    <w:p w14:paraId="5AB7FDFB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Validaciones Definidas</w:t>
      </w:r>
    </w:p>
    <w:p w14:paraId="5F9764AB" w14:textId="77777777" w:rsidR="00636C02" w:rsidRDefault="00636C02" w:rsidP="00636C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Revisión de encabezados y columnas obligatorias.</w:t>
      </w:r>
    </w:p>
    <w:p w14:paraId="4DFDCFD5" w14:textId="77777777" w:rsidR="00636C02" w:rsidRDefault="00636C02" w:rsidP="00636C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Verificación de tipos de dato y codificación.</w:t>
      </w:r>
    </w:p>
    <w:p w14:paraId="1D1B04CF" w14:textId="77777777" w:rsidR="00636C02" w:rsidRDefault="00636C02" w:rsidP="00636C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Detección de registros vacíos, incompletos o fuera de estructura.</w:t>
      </w:r>
    </w:p>
    <w:p w14:paraId="3094384A" w14:textId="77777777" w:rsidR="00636C02" w:rsidRDefault="00636C02" w:rsidP="00636C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 de consistencia entre identificadores y campos clave.</w:t>
      </w:r>
    </w:p>
    <w:p w14:paraId="41404679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Además de las validaciones generales anteriores, el análisis de abril permitió definir validaciones concretas alineadas al flujo real:</w:t>
      </w:r>
    </w:p>
    <w:p w14:paraId="59DC76C2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Validaciones de extracción</w:t>
      </w:r>
    </w:p>
    <w:p w14:paraId="79C4D268" w14:textId="77777777" w:rsidR="00636C02" w:rsidRDefault="00636C02" w:rsidP="00636C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Confirmar correspondencia entre </w:t>
      </w:r>
      <w:r>
        <w:rPr>
          <w:rStyle w:val="CdigoHTML"/>
        </w:rPr>
        <w:t>cve_escuela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catalogo_cct.cct</w:t>
      </w:r>
      <w:r>
        <w:rPr>
          <w:rFonts w:ascii="Calibri" w:eastAsia="Times New Roman" w:hAnsi="Calibri" w:cs="Calibri"/>
        </w:rPr>
        <w:t>.</w:t>
      </w:r>
    </w:p>
    <w:p w14:paraId="0EC8C922" w14:textId="77777777" w:rsidR="00636C02" w:rsidRDefault="00636C02" w:rsidP="00636C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Verificar que </w:t>
      </w:r>
      <w:r>
        <w:rPr>
          <w:rStyle w:val="CdigoHTML"/>
        </w:rPr>
        <w:t>cve_curp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cve_escuela</w:t>
      </w:r>
      <w:r>
        <w:rPr>
          <w:rFonts w:ascii="Calibri" w:eastAsia="Times New Roman" w:hAnsi="Calibri" w:cs="Calibri"/>
        </w:rPr>
        <w:t xml:space="preserve"> e </w:t>
      </w:r>
      <w:r>
        <w:rPr>
          <w:rStyle w:val="CdigoHTML"/>
        </w:rPr>
        <w:t>id_ciclo_escolar</w:t>
      </w:r>
      <w:r>
        <w:rPr>
          <w:rFonts w:ascii="Calibri" w:eastAsia="Times New Roman" w:hAnsi="Calibri" w:cs="Calibri"/>
        </w:rPr>
        <w:t xml:space="preserve"> existan para cada registro.</w:t>
      </w:r>
    </w:p>
    <w:p w14:paraId="47D8DFD0" w14:textId="77777777" w:rsidR="00636C02" w:rsidRDefault="00636C02" w:rsidP="00636C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Validar el filtro por entidad y ciclo escolar antes de iniciar el procesamiento por lote.</w:t>
      </w:r>
    </w:p>
    <w:p w14:paraId="660F0CD2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Validaciones de transformación</w:t>
      </w:r>
    </w:p>
    <w:p w14:paraId="6A6BC175" w14:textId="77777777" w:rsidR="00636C02" w:rsidRDefault="00636C02" w:rsidP="00636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Verificar normalización de directorios para evitar rutas inválidas.</w:t>
      </w:r>
    </w:p>
    <w:p w14:paraId="42E9984B" w14:textId="77777777" w:rsidR="00636C02" w:rsidRDefault="00636C02" w:rsidP="00636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Confirmar que los parámetros a cifrar para el servicio IMSS no queden vacíos cuando son requeridos.</w:t>
      </w:r>
    </w:p>
    <w:p w14:paraId="16845994" w14:textId="77777777" w:rsidR="00636C02" w:rsidRDefault="00636C02" w:rsidP="00636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Controlar consistencia entre entidad consultada y estado operativo del registro.</w:t>
      </w:r>
    </w:p>
    <w:p w14:paraId="6E6D3E8E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Validaciones de carga</w:t>
      </w:r>
    </w:p>
    <w:p w14:paraId="7005CBD6" w14:textId="77777777" w:rsidR="00636C02" w:rsidRDefault="00636C02" w:rsidP="00636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Confirmar unicidad operativa del lote en ejecución.</w:t>
      </w:r>
    </w:p>
    <w:p w14:paraId="2969D37E" w14:textId="77777777" w:rsidR="00636C02" w:rsidRDefault="00636C02" w:rsidP="00636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Verificar que </w:t>
      </w:r>
      <w:r>
        <w:rPr>
          <w:rStyle w:val="CdigoHTML"/>
        </w:rPr>
        <w:t>CurpProcesada</w:t>
      </w:r>
      <w:r>
        <w:rPr>
          <w:rFonts w:ascii="Calibri" w:eastAsia="Times New Roman" w:hAnsi="Calibri" w:cs="Calibri"/>
        </w:rPr>
        <w:t xml:space="preserve"> persista el resultado final esperado.</w:t>
      </w:r>
    </w:p>
    <w:p w14:paraId="5BE36143" w14:textId="77777777" w:rsidR="00636C02" w:rsidRDefault="00636C02" w:rsidP="00636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Confirmar registro de evento asociado a cada intento significativo.</w:t>
      </w:r>
    </w:p>
    <w:p w14:paraId="3D173509" w14:textId="77777777" w:rsidR="00636C02" w:rsidRDefault="00636C02" w:rsidP="00636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Verificar integridad entre </w:t>
      </w:r>
      <w:r>
        <w:rPr>
          <w:rStyle w:val="CdigoHTML"/>
        </w:rPr>
        <w:t>estado_descarga</w:t>
      </w:r>
      <w:r>
        <w:rPr>
          <w:rFonts w:ascii="Calibri" w:eastAsia="Times New Roman" w:hAnsi="Calibri" w:cs="Calibri"/>
        </w:rPr>
        <w:t xml:space="preserve">, </w:t>
      </w:r>
      <w:r>
        <w:rPr>
          <w:rStyle w:val="CdigoHTML"/>
        </w:rPr>
        <w:t>ruta_pdf</w:t>
      </w:r>
      <w:r>
        <w:rPr>
          <w:rFonts w:ascii="Calibri" w:eastAsia="Times New Roman" w:hAnsi="Calibri" w:cs="Calibri"/>
        </w:rPr>
        <w:t xml:space="preserve"> y existencia real del archivo generado cuando hubo éxito.</w:t>
      </w:r>
    </w:p>
    <w:p w14:paraId="3E5A711D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Depuración de Datos y Manejo de Incidencias</w:t>
      </w:r>
    </w:p>
    <w:p w14:paraId="2EB22D05" w14:textId="77777777" w:rsidR="00636C02" w:rsidRDefault="00636C02" w:rsidP="00636C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 duplicados.</w:t>
      </w:r>
    </w:p>
    <w:p w14:paraId="0475D73C" w14:textId="77777777" w:rsidR="00636C02" w:rsidRDefault="00636C02" w:rsidP="00636C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Corrección o separación de registros inconsistentes.</w:t>
      </w:r>
    </w:p>
    <w:p w14:paraId="37CED80A" w14:textId="77777777" w:rsidR="00636C02" w:rsidRDefault="00636C02" w:rsidP="00636C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Trazabilidad de errores detectados y acciones correctivas.</w:t>
      </w:r>
    </w:p>
    <w:p w14:paraId="1542B6CD" w14:textId="77777777" w:rsidR="00636C02" w:rsidRDefault="00636C02" w:rsidP="00636C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Preparación de bitácora técnica para reproceso de entradas defectuosas.</w:t>
      </w:r>
    </w:p>
    <w:p w14:paraId="3B6B8EAB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Durante abril se identificó que la depuración en este proyecto no es solamente limpieza previa de archivos, sino depuración operativa basada en resultado de proceso. Esto implica:</w:t>
      </w:r>
    </w:p>
    <w:p w14:paraId="284D18CE" w14:textId="77777777" w:rsidR="00636C02" w:rsidRDefault="00636C02" w:rsidP="00636C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distinguir entre registros fallidos, pendientes y exitosos;</w:t>
      </w:r>
    </w:p>
    <w:p w14:paraId="30BD52C8" w14:textId="77777777" w:rsidR="00636C02" w:rsidRDefault="00636C02" w:rsidP="00636C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separar errores de conectividad, errores funcionales del servicio y registros sin documento válido;</w:t>
      </w:r>
    </w:p>
    <w:p w14:paraId="6A1D821E" w14:textId="77777777" w:rsidR="00636C02" w:rsidRDefault="00636C02" w:rsidP="00636C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utilizar el reproceso como mecanismo de recuperación controlada;</w:t>
      </w:r>
    </w:p>
    <w:p w14:paraId="0915B356" w14:textId="77777777" w:rsidR="00636C02" w:rsidRDefault="00636C02" w:rsidP="00636C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utilizar la bitácora de eventos como fuente de diagnóstico.</w:t>
      </w:r>
    </w:p>
    <w:p w14:paraId="208D9614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 consecuencia, el componente de depuración ETL/ELT quedó definido con dos dimensiones:</w:t>
      </w:r>
    </w:p>
    <w:p w14:paraId="72C33AB4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1. Depuración estructural de datos de entrada.</w:t>
      </w:r>
    </w:p>
    <w:p w14:paraId="46B0097F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Depuración operativa posterior al procesamiento y carga.</w:t>
      </w:r>
    </w:p>
    <w:p w14:paraId="6A691B96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Especificaciones Técnicas del Avance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468"/>
      </w:tblGrid>
      <w:tr w:rsidR="00636C02" w14:paraId="736CAFA9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542A2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1D9C9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Especificación definida en abril</w:t>
            </w:r>
          </w:p>
        </w:tc>
      </w:tr>
      <w:tr w:rsidR="00636C02" w14:paraId="65106B22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BD6B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Recepción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88F44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Identificación de origen desde PostgreSQL y parametrización por entidad/ciclo</w:t>
            </w:r>
          </w:p>
        </w:tc>
      </w:tr>
      <w:tr w:rsidR="00636C02" w14:paraId="5DB9CAAD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EAF6A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Validación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0555C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Reglas mínimas sobre claves, filtros, unicidad y consistencia con catálogos</w:t>
            </w:r>
          </w:p>
        </w:tc>
      </w:tr>
      <w:tr w:rsidR="00636C02" w14:paraId="4BAEB27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A13F04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Transformación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FB5312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Mapeo de columnas, enriquecimiento con catálogo CCT, normalización de parámetros y rutas</w:t>
            </w:r>
          </w:p>
        </w:tc>
      </w:tr>
      <w:tr w:rsidR="00636C02" w14:paraId="0A19C211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01E37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Integración externa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800A5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Cifrado de parámetros y consumo del servicio IMSS</w:t>
            </w:r>
          </w:p>
        </w:tc>
      </w:tr>
      <w:tr w:rsidR="00636C02" w14:paraId="3A0D5ADE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6AF7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Carga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F61EED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Persistencia en </w:t>
            </w:r>
            <w:r>
              <w:rPr>
                <w:rStyle w:val="CdigoHTML"/>
              </w:rPr>
              <w:t>Lote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, </w:t>
            </w:r>
            <w:r>
              <w:rPr>
                <w:rStyle w:val="CdigoHTML"/>
              </w:rPr>
              <w:t>BitacoraEvento</w:t>
            </w:r>
            <w:r>
              <w:rPr>
                <w:rFonts w:ascii="Calibri" w:eastAsia="Times New Roman" w:hAnsi="Calibri" w:cs="Calibri"/>
              </w:rPr>
              <w:t xml:space="preserve"> y sistema de archivos</w:t>
            </w:r>
          </w:p>
        </w:tc>
      </w:tr>
      <w:tr w:rsidR="00636C02" w14:paraId="058AED57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63B849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A1A6D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Reintentos, registro de mensajes, reproceso y reanudación</w:t>
            </w:r>
          </w:p>
        </w:tc>
      </w:tr>
    </w:tbl>
    <w:p w14:paraId="3DBFC48C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Mapeo Funcional del Proceso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4259"/>
        <w:gridCol w:w="2870"/>
      </w:tblGrid>
      <w:tr w:rsidR="00636C02" w14:paraId="6F2FB7F5" w14:textId="77777777">
        <w:trPr>
          <w:tblHeader/>
        </w:trPr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E41391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Origen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CF59F2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Transformación principal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BA8290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  <w:b/>
                <w:bCs/>
              </w:rPr>
            </w:pPr>
            <w:r>
              <w:rPr>
                <w:rFonts w:ascii="Calibri" w:eastAsia="Times New Roman" w:hAnsi="Calibri" w:cs="Calibri"/>
                <w:b/>
                <w:bCs/>
              </w:rPr>
              <w:t>Destino</w:t>
            </w:r>
          </w:p>
        </w:tc>
      </w:tr>
      <w:tr w:rsidR="00636C02" w14:paraId="381C344A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1368E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menor_evaluado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86A57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Selección de CURP, contacto, escuela y ciclo escolar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7F704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Dataset de trabajo en memoria</w:t>
            </w:r>
          </w:p>
        </w:tc>
      </w:tr>
      <w:tr w:rsidR="00636C02" w14:paraId="4F199473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0EBA93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catalogo_cct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185C04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Enriquecimiento territorial e institucional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8ECB4A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Registro operativo enriquecido</w:t>
            </w:r>
          </w:p>
        </w:tc>
      </w:tr>
      <w:tr w:rsidR="00636C02" w14:paraId="48EDF96B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60CCF5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Parámetros del registro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389ED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Construcción de request cifrado al servicio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F2868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Consulta externa</w:t>
            </w:r>
          </w:p>
        </w:tc>
      </w:tr>
      <w:tr w:rsidR="00636C02" w14:paraId="33B3814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865D54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Respuesta IMSS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B7491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Interpretación de PDF, JSON o error textual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7BCEA7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CurpProcesada</w:t>
            </w:r>
            <w:r>
              <w:rPr>
                <w:rFonts w:ascii="Calibri" w:eastAsia="Times New Roman" w:hAnsi="Calibri" w:cs="Calibri"/>
              </w:rPr>
              <w:t xml:space="preserve"> y PDF en disco</w:t>
            </w:r>
          </w:p>
        </w:tc>
      </w:tr>
      <w:tr w:rsidR="00636C02" w14:paraId="03A54CFF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7486B9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Resultado del intento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12492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Generación de mensaje y estado final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C4EC2D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Style w:val="CdigoHTML"/>
              </w:rPr>
              <w:t>BitacoraEvento</w:t>
            </w:r>
          </w:p>
        </w:tc>
      </w:tr>
      <w:tr w:rsidR="00636C02" w14:paraId="40DF7655" w14:textId="77777777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879386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Fallos o pendientes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33610F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Selección para reproceso o reanudación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1F4D25" w14:textId="77777777" w:rsidR="00636C02" w:rsidRDefault="00636C02">
            <w:pPr>
              <w:spacing w:before="180" w:after="180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Nueva ejecución controlada</w:t>
            </w:r>
          </w:p>
        </w:tc>
      </w:tr>
    </w:tbl>
    <w:p w14:paraId="57CB7850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Especificación Contractual por Formato</w:t>
      </w:r>
    </w:p>
    <w:p w14:paraId="33D3824F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Aunque el flujo realmente observado en abril se apoya en PostgreSQL, JSON y PDF, el entregable debía dejar establecidos lineamientos para formatos CSV, XLSX, JSON y XML. La especificación base quedó delimitada así:</w:t>
      </w:r>
    </w:p>
    <w:p w14:paraId="543AE418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10.1 CSV</w:t>
      </w:r>
    </w:p>
    <w:p w14:paraId="724D4CED" w14:textId="77777777" w:rsidR="00636C02" w:rsidRDefault="00636C02" w:rsidP="00636C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para cargas masivas con encabezados controlados;</w:t>
      </w:r>
    </w:p>
    <w:p w14:paraId="1A8D02A2" w14:textId="77777777" w:rsidR="00636C02" w:rsidRDefault="00636C02" w:rsidP="00636C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validación de delimitador, codificación, columnas obligatorias y duplicados;</w:t>
      </w:r>
    </w:p>
    <w:p w14:paraId="2EAAAEEF" w14:textId="77777777" w:rsidR="00636C02" w:rsidRDefault="00636C02" w:rsidP="00636C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mapeo hacia estructuras equivalentes a </w:t>
      </w:r>
      <w:r>
        <w:rPr>
          <w:rStyle w:val="CdigoHTML"/>
        </w:rPr>
        <w:t>menor_evaluado</w:t>
      </w:r>
      <w:r>
        <w:rPr>
          <w:rFonts w:ascii="Calibri" w:eastAsia="Times New Roman" w:hAnsi="Calibri" w:cs="Calibri"/>
        </w:rPr>
        <w:t xml:space="preserve"> o catálogos auxiliares.</w:t>
      </w:r>
    </w:p>
    <w:p w14:paraId="6505D57F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10.2 XLSX</w:t>
      </w:r>
    </w:p>
    <w:p w14:paraId="2BDC5EB3" w14:textId="77777777" w:rsidR="00636C02" w:rsidRDefault="00636C02" w:rsidP="00636C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para insumos administrativos o concentrados institucionales;</w:t>
      </w:r>
    </w:p>
    <w:p w14:paraId="4029D2A4" w14:textId="77777777" w:rsidR="00636C02" w:rsidRDefault="00636C02" w:rsidP="00636C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validación de hoja objetivo, nombres de columnas y tipos de dato;</w:t>
      </w:r>
    </w:p>
    <w:p w14:paraId="1F82C0B6" w14:textId="77777777" w:rsidR="00636C02" w:rsidRDefault="00636C02" w:rsidP="00636C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control de filas vacías, formatos mixtos y celdas combinadas no permitidas.</w:t>
      </w:r>
    </w:p>
    <w:p w14:paraId="7627C581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10.3 JSON</w:t>
      </w:r>
    </w:p>
    <w:p w14:paraId="6ED0D953" w14:textId="77777777" w:rsidR="00636C02" w:rsidRDefault="00636C02" w:rsidP="00636C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para intercambio entre procesos o respuestas de servicios;</w:t>
      </w:r>
    </w:p>
    <w:p w14:paraId="5D2E41E8" w14:textId="77777777" w:rsidR="00636C02" w:rsidRDefault="00636C02" w:rsidP="00636C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validación de estructura, claves requeridas y codificación UTF-8;</w:t>
      </w:r>
    </w:p>
    <w:p w14:paraId="52A34BC1" w14:textId="77777777" w:rsidR="00636C02" w:rsidRDefault="00636C02" w:rsidP="00636C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trazabilidad del documento recibido y reglas de transformación hacia tablas operativas.</w:t>
      </w:r>
    </w:p>
    <w:p w14:paraId="5D9E0939" w14:textId="77777777" w:rsidR="00636C02" w:rsidRDefault="00636C02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10.4 XML</w:t>
      </w:r>
    </w:p>
    <w:p w14:paraId="12D4AEF2" w14:textId="77777777" w:rsidR="00636C02" w:rsidRDefault="00636C02" w:rsidP="00636C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uso previsto para interoperabilidad con sistemas institucionales que publiquen estructuras jerárquicas;</w:t>
      </w:r>
    </w:p>
    <w:p w14:paraId="04482839" w14:textId="77777777" w:rsidR="00636C02" w:rsidRDefault="00636C02" w:rsidP="00636C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validación contra estructura esperada, nodos obligatorios y consistencia semántica;</w:t>
      </w:r>
    </w:p>
    <w:p w14:paraId="5F3BCFEC" w14:textId="77777777" w:rsidR="00636C02" w:rsidRDefault="00636C02" w:rsidP="00636C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transformación previa a modelo tabular o staging antes de su carga.</w:t>
      </w:r>
    </w:p>
    <w:p w14:paraId="14A479F0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Evidencia del Avance de Abril</w:t>
      </w:r>
    </w:p>
    <w:p w14:paraId="04E6A091" w14:textId="77777777" w:rsidR="00636C02" w:rsidRDefault="00636C02" w:rsidP="00636C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Matriz de formatos y validaciones iniciales.</w:t>
      </w:r>
    </w:p>
    <w:p w14:paraId="1EAA8CE1" w14:textId="77777777" w:rsidR="00636C02" w:rsidRDefault="00636C02" w:rsidP="00636C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Relación preliminar entre insumos de origen y transformaciones esperadas.</w:t>
      </w:r>
    </w:p>
    <w:p w14:paraId="0FEB620B" w14:textId="77777777" w:rsidR="00636C02" w:rsidRDefault="00636C02" w:rsidP="00636C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Definición de bitácora técnica de errores y depuración.</w:t>
      </w:r>
    </w:p>
    <w:p w14:paraId="541CEC5A" w14:textId="77777777" w:rsidR="00636C02" w:rsidRDefault="00636C02" w:rsidP="00636C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Delimitación de procesos ETL/ELT que deben probarse en mayo.</w:t>
      </w:r>
    </w:p>
    <w:p w14:paraId="74A426E9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Evidencia Técnica Específica</w:t>
      </w:r>
    </w:p>
    <w:p w14:paraId="5875C043" w14:textId="77777777" w:rsidR="00636C02" w:rsidRDefault="00636C02" w:rsidP="0063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Identificación en </w:t>
      </w:r>
      <w:r>
        <w:rPr>
          <w:rStyle w:val="CdigoHTML"/>
        </w:rPr>
        <w:t>db.py</w:t>
      </w:r>
      <w:r>
        <w:rPr>
          <w:rFonts w:ascii="Calibri" w:eastAsia="Times New Roman" w:hAnsi="Calibri" w:cs="Calibri"/>
        </w:rPr>
        <w:t xml:space="preserve"> de las rutinas reales de extracción por entidad, fallidos y pendientes.</w:t>
      </w:r>
    </w:p>
    <w:p w14:paraId="385DC1DA" w14:textId="77777777" w:rsidR="00636C02" w:rsidRDefault="00636C02" w:rsidP="0063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Identificación en </w:t>
      </w:r>
      <w:r>
        <w:rPr>
          <w:rStyle w:val="CdigoHTML"/>
        </w:rPr>
        <w:t>orchestrator.py</w:t>
      </w:r>
      <w:r>
        <w:rPr>
          <w:rFonts w:ascii="Calibri" w:eastAsia="Times New Roman" w:hAnsi="Calibri" w:cs="Calibri"/>
        </w:rPr>
        <w:t xml:space="preserve"> del alta de lotes, el procesamiento concurrente y la persistencia de resultados.</w:t>
      </w:r>
    </w:p>
    <w:p w14:paraId="7FE2972B" w14:textId="77777777" w:rsidR="00636C02" w:rsidRDefault="00636C02" w:rsidP="0063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Identificación de la carga dual a base de datos y archivos PDF.</w:t>
      </w:r>
    </w:p>
    <w:p w14:paraId="32CE37B2" w14:textId="77777777" w:rsidR="00636C02" w:rsidRDefault="00636C02" w:rsidP="0063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Revisión de la lógica de reproceso y reanudación como parte del ciclo de vida del pipeline.</w:t>
      </w:r>
    </w:p>
    <w:p w14:paraId="2C3B70DF" w14:textId="77777777" w:rsidR="00636C02" w:rsidRDefault="00636C02" w:rsidP="0063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Confirmación de que los formatos CSV, XLSX y XML permanecen como marco de especificación y no como flujo productivo ya implementado en abril.</w:t>
      </w:r>
    </w:p>
    <w:p w14:paraId="7F65E03E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Riesgos y Consideraciones</w:t>
      </w:r>
    </w:p>
    <w:p w14:paraId="0258A470" w14:textId="77777777" w:rsidR="00636C02" w:rsidRDefault="00636C02" w:rsidP="0063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documentar como ETL multiformato algo que en abril aún opera principalmente como pipeline basado en base de datos y servicio externo.</w:t>
      </w:r>
    </w:p>
    <w:p w14:paraId="1DA8FE2F" w14:textId="77777777" w:rsidR="00636C02" w:rsidRDefault="00636C02" w:rsidP="0063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inconsistencia entre estado registrado en base de datos y existencia física del PDF si no se aplican verificaciones de integridad.</w:t>
      </w:r>
    </w:p>
    <w:p w14:paraId="772C0BF8" w14:textId="77777777" w:rsidR="00636C02" w:rsidRDefault="00636C02" w:rsidP="0063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crecimiento de incidencias si no se formalizan tablas o zonas de staging para futuras cargas desde archivos.</w:t>
      </w:r>
    </w:p>
    <w:p w14:paraId="6FD41117" w14:textId="77777777" w:rsidR="00636C02" w:rsidRDefault="00636C02" w:rsidP="0063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Riesgo de mezclar reglas de negocio operativas con transformaciones analíticas sin una capa de datos intermedia.</w:t>
      </w:r>
    </w:p>
    <w:p w14:paraId="35A0A40E" w14:textId="77777777" w:rsidR="00636C02" w:rsidRDefault="00636C02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Próximos Pasos</w:t>
      </w:r>
    </w:p>
    <w:p w14:paraId="6EC27AEF" w14:textId="77777777" w:rsidR="00636C02" w:rsidRDefault="00636C02" w:rsidP="00636C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Implementar o documentar zonas de staging para cargas desde CSV, XLSX, JSON y XML cuando entren en uso.</w:t>
      </w:r>
    </w:p>
    <w:p w14:paraId="35F31876" w14:textId="77777777" w:rsidR="00636C02" w:rsidRDefault="00636C02" w:rsidP="00636C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Consolidar mapeos explícitos entre origen, transformación y destino para cada tipo de insumo.</w:t>
      </w:r>
    </w:p>
    <w:p w14:paraId="49FE4799" w14:textId="77777777" w:rsidR="00636C02" w:rsidRDefault="00636C02" w:rsidP="00636C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Formalizar bitácoras de validación y catálogos de errores reutilizables.</w:t>
      </w:r>
    </w:p>
    <w:p w14:paraId="3B0DA587" w14:textId="77777777" w:rsidR="00636C02" w:rsidRDefault="00636C02" w:rsidP="00636C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Preparar el avance de mayo con ejecución documentada de pruebas ETL/ELT sobre insumos controlados.</w:t>
      </w:r>
    </w:p>
    <w:p w14:paraId="159409EE" w14:textId="77777777" w:rsidR="00636C02" w:rsidRDefault="00636C0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7DE05D84">
          <v:rect id="_x0000_i1026" style="width:0;height:1.5pt" o:hralign="center" o:hrstd="t" o:hr="t" fillcolor="#a0a0a0" stroked="f"/>
        </w:pict>
      </w:r>
    </w:p>
    <w:p w14:paraId="6B4DB9CA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Comentarios adicionales:</w:t>
      </w:r>
    </w:p>
    <w:p w14:paraId="1FDD5B6B" w14:textId="77777777" w:rsidR="00636C02" w:rsidRDefault="00636C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entregable corresponde al avance mensual de abril de 2026 y deja mejor delimitado el proceso ETL/ELT realmente identificado en el proyecto: extracción desde PostgreSQL, transformación operativa, carga en tablas de control y archivos PDF, con soporte de reproceso y reanudación. Asimismo, establece como especificación contractual la futura incorporación controlada de insumos CSV, XLSX, JSON y XML para etapas posteriores.</w:t>
      </w:r>
    </w:p>
    <w:p w14:paraId="46186D24" w14:textId="77777777" w:rsidR="00636C02" w:rsidRDefault="00636C0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br w:type="page"/>
      </w:r>
    </w:p>
    <w:bookmarkEnd w:id="0"/>
    <w:bookmarkEnd w:id="1"/>
    <w:bookmarkEnd w:id="2"/>
    <w:p w14:paraId="0CEA0A2E" w14:textId="77777777" w:rsidR="00636C02" w:rsidRDefault="00636C02" w:rsidP="0076298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</w:p>
    <w:p w14:paraId="488F7A54" w14:textId="321FE6E7" w:rsidR="00762984" w:rsidRPr="00F35958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F35958" w:rsidRDefault="00762984" w:rsidP="00762984">
      <w:pPr>
        <w:rPr>
          <w:rFonts w:ascii="Arial" w:hAnsi="Arial" w:cs="Arial"/>
          <w:color w:val="auto"/>
        </w:rPr>
      </w:pPr>
      <w:r w:rsidRPr="00F35958">
        <w:rPr>
          <w:rFonts w:ascii="Arial" w:hAnsi="Arial" w:cs="Arial"/>
          <w:color w:val="auto"/>
        </w:rPr>
        <w:t>Tras la revisión del documento,</w:t>
      </w:r>
      <w:r w:rsidRPr="00F35958">
        <w:rPr>
          <w:rFonts w:asciiTheme="minorHAnsi" w:hAnsiTheme="minorHAnsi"/>
          <w:color w:val="auto"/>
        </w:rPr>
        <w:t xml:space="preserve"> s</w:t>
      </w:r>
      <w:r w:rsidRPr="00F35958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F35958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F35958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F35958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F35958" w14:paraId="7D0815A2" w14:textId="77777777" w:rsidTr="00E41D98">
        <w:tc>
          <w:tcPr>
            <w:tcW w:w="4675" w:type="dxa"/>
          </w:tcPr>
          <w:p w14:paraId="5C93266E" w14:textId="38C4471D" w:rsidR="00C72784" w:rsidRPr="00F35958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 w:rsidRPr="00F35958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F35958" w14:paraId="4EFFA3A4" w14:textId="77777777" w:rsidTr="00E41D98">
        <w:tc>
          <w:tcPr>
            <w:tcW w:w="4675" w:type="dxa"/>
          </w:tcPr>
          <w:p w14:paraId="3A32D21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F35958" w14:paraId="18A22D1F" w14:textId="77777777" w:rsidTr="00E41D98">
        <w:tc>
          <w:tcPr>
            <w:tcW w:w="4675" w:type="dxa"/>
          </w:tcPr>
          <w:p w14:paraId="4035BC3F" w14:textId="6EF73872" w:rsidR="00C72784" w:rsidRPr="00F35958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F35958" w14:paraId="0E84DC51" w14:textId="77777777" w:rsidTr="00E41D98">
        <w:tc>
          <w:tcPr>
            <w:tcW w:w="4675" w:type="dxa"/>
          </w:tcPr>
          <w:p w14:paraId="20A9AA2C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F35958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F35958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F35958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8"/>
      <w:footerReference w:type="default" r:id="rId9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660E" w14:textId="77777777" w:rsidR="00EF78D1" w:rsidRPr="00F35958" w:rsidRDefault="00EF78D1" w:rsidP="00997E2E">
      <w:r w:rsidRPr="00F35958">
        <w:separator/>
      </w:r>
    </w:p>
  </w:endnote>
  <w:endnote w:type="continuationSeparator" w:id="0">
    <w:p w14:paraId="3FBEA2A2" w14:textId="77777777" w:rsidR="00EF78D1" w:rsidRPr="00F35958" w:rsidRDefault="00EF78D1" w:rsidP="00997E2E">
      <w:r w:rsidRPr="00F359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F35958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3" w:name="_Hlk195261366"/>
    <w:bookmarkStart w:id="4" w:name="_Hlk195261367"/>
    <w:r w:rsidRPr="00F35958">
      <w:rPr>
        <w:rFonts w:ascii="Noto Sans" w:hAnsi="Noto Sans" w:cs="Noto Sans"/>
        <w:sz w:val="18"/>
        <w:szCs w:val="18"/>
      </w:rPr>
      <w:t xml:space="preserve">Página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1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Pr="00F35958">
      <w:rPr>
        <w:rFonts w:ascii="Noto Sans" w:hAnsi="Noto Sans" w:cs="Noto Sans"/>
        <w:sz w:val="18"/>
        <w:szCs w:val="18"/>
      </w:rPr>
      <w:t xml:space="preserve"> de </w:t>
    </w:r>
    <w:r w:rsidRPr="00F35958">
      <w:rPr>
        <w:rFonts w:ascii="Noto Sans" w:hAnsi="Noto Sans" w:cs="Noto Sans"/>
        <w:b/>
        <w:bCs/>
        <w:sz w:val="18"/>
        <w:szCs w:val="18"/>
      </w:rPr>
      <w:fldChar w:fldCharType="begin"/>
    </w:r>
    <w:r w:rsidRPr="00F35958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F35958">
      <w:rPr>
        <w:rFonts w:ascii="Noto Sans" w:hAnsi="Noto Sans" w:cs="Noto Sans"/>
        <w:b/>
        <w:bCs/>
        <w:sz w:val="18"/>
        <w:szCs w:val="18"/>
      </w:rPr>
      <w:fldChar w:fldCharType="separate"/>
    </w:r>
    <w:r w:rsidRPr="00F35958">
      <w:rPr>
        <w:rFonts w:ascii="Noto Sans" w:hAnsi="Noto Sans" w:cs="Noto Sans"/>
        <w:b/>
        <w:bCs/>
        <w:sz w:val="18"/>
        <w:szCs w:val="18"/>
      </w:rPr>
      <w:t>2</w:t>
    </w:r>
    <w:r w:rsidRPr="00F35958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F35958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F35958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Unidad de Administración y Finanzas</w:t>
    </w:r>
    <w:r w:rsidRPr="00F35958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Dirección General de Tecnologías de</w:t>
    </w:r>
    <w:r w:rsidRPr="00F35958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F35958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F35958">
      <w:rPr>
        <w:rFonts w:ascii="Noto Sans" w:hAnsi="Noto Sans" w:cs="Noto Sans"/>
        <w:sz w:val="18"/>
        <w:szCs w:val="18"/>
      </w:rPr>
      <w:t>la Información y Comunicaciones</w:t>
    </w:r>
    <w:r w:rsidRPr="00F35958">
      <w:rPr>
        <w:rFonts w:ascii="Noto Sans" w:hAnsi="Noto Sans" w:cs="Noto Sans"/>
        <w:sz w:val="18"/>
        <w:szCs w:val="18"/>
      </w:rPr>
      <w:tab/>
    </w:r>
  </w:p>
  <w:bookmarkEnd w:id="3"/>
  <w:bookmarkEnd w:id="4"/>
  <w:p w14:paraId="7DCB4A70" w14:textId="77777777" w:rsidR="00997E2E" w:rsidRPr="00F35958" w:rsidRDefault="00997E2E" w:rsidP="00997E2E">
    <w:pPr>
      <w:pStyle w:val="Encabezado"/>
      <w:ind w:right="474"/>
      <w:jc w:val="right"/>
    </w:pPr>
  </w:p>
  <w:p w14:paraId="370C7DA8" w14:textId="7BBD45B3" w:rsidR="00E42075" w:rsidRPr="00F35958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F870D" w14:textId="77777777" w:rsidR="00EF78D1" w:rsidRPr="00F35958" w:rsidRDefault="00EF78D1" w:rsidP="00997E2E">
      <w:r w:rsidRPr="00F35958">
        <w:separator/>
      </w:r>
    </w:p>
  </w:footnote>
  <w:footnote w:type="continuationSeparator" w:id="0">
    <w:p w14:paraId="62C5883A" w14:textId="77777777" w:rsidR="00EF78D1" w:rsidRPr="00F35958" w:rsidRDefault="00EF78D1" w:rsidP="00997E2E">
      <w:r w:rsidRPr="00F359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F35958" w:rsidRDefault="00997E2E" w:rsidP="00997E2E">
    <w:pPr>
      <w:pStyle w:val="Encabezado"/>
    </w:pPr>
    <w:r w:rsidRPr="00F35958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F35958" w:rsidRDefault="00997E2E" w:rsidP="00997E2E">
    <w:pPr>
      <w:pStyle w:val="Encabezado"/>
      <w:jc w:val="right"/>
    </w:pPr>
    <w:r w:rsidRPr="00F35958">
      <w:t>Unidad de Administración y Finanzas</w:t>
    </w:r>
    <w:r w:rsidRPr="00F35958">
      <w:tab/>
    </w:r>
  </w:p>
  <w:p w14:paraId="7E408CE7" w14:textId="31431E63" w:rsidR="00997E2E" w:rsidRPr="00F35958" w:rsidRDefault="00997E2E" w:rsidP="00997E2E">
    <w:pPr>
      <w:pStyle w:val="Encabezado"/>
      <w:jc w:val="right"/>
    </w:pPr>
    <w:r w:rsidRPr="00F35958">
      <w:t>Dirección General de Tecnologías de</w:t>
    </w:r>
    <w:r w:rsidRPr="00F35958">
      <w:tab/>
      <w:t xml:space="preserve"> </w:t>
    </w:r>
  </w:p>
  <w:p w14:paraId="0D6A6991" w14:textId="76F185EB" w:rsidR="00997E2E" w:rsidRPr="00F35958" w:rsidRDefault="00997E2E" w:rsidP="00997E2E">
    <w:pPr>
      <w:pStyle w:val="Encabezado"/>
      <w:jc w:val="right"/>
    </w:pPr>
    <w:r w:rsidRPr="00F35958">
      <w:t>la Información y Comunicaciones</w:t>
    </w:r>
    <w:r w:rsidRPr="00F35958">
      <w:tab/>
    </w:r>
  </w:p>
  <w:p w14:paraId="466085AA" w14:textId="77777777" w:rsidR="00997E2E" w:rsidRPr="00F35958" w:rsidRDefault="00997E2E" w:rsidP="00997E2E">
    <w:pPr>
      <w:pStyle w:val="Encabezado"/>
    </w:pPr>
  </w:p>
  <w:p w14:paraId="57844811" w14:textId="77777777" w:rsidR="00997E2E" w:rsidRPr="00F35958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B46AF"/>
    <w:multiLevelType w:val="multilevel"/>
    <w:tmpl w:val="C9AE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36EE6"/>
    <w:multiLevelType w:val="multilevel"/>
    <w:tmpl w:val="91D0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541DC"/>
    <w:multiLevelType w:val="multilevel"/>
    <w:tmpl w:val="99A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D4DB4"/>
    <w:multiLevelType w:val="multilevel"/>
    <w:tmpl w:val="553A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074F40"/>
    <w:multiLevelType w:val="multilevel"/>
    <w:tmpl w:val="193A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B0203"/>
    <w:multiLevelType w:val="multilevel"/>
    <w:tmpl w:val="D21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56F12"/>
    <w:multiLevelType w:val="multilevel"/>
    <w:tmpl w:val="B820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1C5F02"/>
    <w:multiLevelType w:val="multilevel"/>
    <w:tmpl w:val="43C6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31BC5"/>
    <w:multiLevelType w:val="multilevel"/>
    <w:tmpl w:val="270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3053C"/>
    <w:multiLevelType w:val="multilevel"/>
    <w:tmpl w:val="F02C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4355B"/>
    <w:multiLevelType w:val="multilevel"/>
    <w:tmpl w:val="3684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F439D"/>
    <w:multiLevelType w:val="multilevel"/>
    <w:tmpl w:val="6526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D52D4"/>
    <w:multiLevelType w:val="multilevel"/>
    <w:tmpl w:val="B33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F4413"/>
    <w:multiLevelType w:val="multilevel"/>
    <w:tmpl w:val="C24A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5C3306"/>
    <w:multiLevelType w:val="multilevel"/>
    <w:tmpl w:val="74E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86834"/>
    <w:multiLevelType w:val="multilevel"/>
    <w:tmpl w:val="E01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3716D"/>
    <w:multiLevelType w:val="multilevel"/>
    <w:tmpl w:val="4ECE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1D5DD9"/>
    <w:multiLevelType w:val="multilevel"/>
    <w:tmpl w:val="4DDA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23"/>
  </w:num>
  <w:num w:numId="8" w16cid:durableId="1187519976">
    <w:abstractNumId w:val="12"/>
  </w:num>
  <w:num w:numId="9" w16cid:durableId="774518276">
    <w:abstractNumId w:val="7"/>
  </w:num>
  <w:num w:numId="10" w16cid:durableId="2009867063">
    <w:abstractNumId w:val="18"/>
  </w:num>
  <w:num w:numId="11" w16cid:durableId="1924602666">
    <w:abstractNumId w:val="24"/>
  </w:num>
  <w:num w:numId="12" w16cid:durableId="2021344936">
    <w:abstractNumId w:val="2"/>
  </w:num>
  <w:num w:numId="13" w16cid:durableId="1343241690">
    <w:abstractNumId w:val="28"/>
  </w:num>
  <w:num w:numId="14" w16cid:durableId="378211105">
    <w:abstractNumId w:val="9"/>
  </w:num>
  <w:num w:numId="15" w16cid:durableId="1740905266">
    <w:abstractNumId w:val="11"/>
  </w:num>
  <w:num w:numId="16" w16cid:durableId="2052917939">
    <w:abstractNumId w:val="10"/>
  </w:num>
  <w:num w:numId="17" w16cid:durableId="1342316767">
    <w:abstractNumId w:val="21"/>
  </w:num>
  <w:num w:numId="18" w16cid:durableId="54747219">
    <w:abstractNumId w:val="22"/>
  </w:num>
  <w:num w:numId="19" w16cid:durableId="1357776807">
    <w:abstractNumId w:val="16"/>
  </w:num>
  <w:num w:numId="20" w16cid:durableId="32660772">
    <w:abstractNumId w:val="20"/>
  </w:num>
  <w:num w:numId="21" w16cid:durableId="1788040411">
    <w:abstractNumId w:val="27"/>
  </w:num>
  <w:num w:numId="22" w16cid:durableId="1726028689">
    <w:abstractNumId w:val="13"/>
  </w:num>
  <w:num w:numId="23" w16cid:durableId="1508521923">
    <w:abstractNumId w:val="19"/>
  </w:num>
  <w:num w:numId="24" w16cid:durableId="491877888">
    <w:abstractNumId w:val="25"/>
  </w:num>
  <w:num w:numId="25" w16cid:durableId="1506896433">
    <w:abstractNumId w:val="17"/>
  </w:num>
  <w:num w:numId="26" w16cid:durableId="323511313">
    <w:abstractNumId w:val="15"/>
  </w:num>
  <w:num w:numId="27" w16cid:durableId="2104764250">
    <w:abstractNumId w:val="14"/>
  </w:num>
  <w:num w:numId="28" w16cid:durableId="1857765206">
    <w:abstractNumId w:val="26"/>
  </w:num>
  <w:num w:numId="29" w16cid:durableId="1237469575">
    <w:abstractNumId w:val="29"/>
  </w:num>
  <w:num w:numId="30" w16cid:durableId="353043426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1BE0"/>
    <w:rsid w:val="00034616"/>
    <w:rsid w:val="000370F9"/>
    <w:rsid w:val="00055D65"/>
    <w:rsid w:val="00057AD0"/>
    <w:rsid w:val="0006063C"/>
    <w:rsid w:val="00083F2C"/>
    <w:rsid w:val="00084C49"/>
    <w:rsid w:val="00090885"/>
    <w:rsid w:val="000B17D6"/>
    <w:rsid w:val="000C6807"/>
    <w:rsid w:val="000E2A85"/>
    <w:rsid w:val="000E4F7B"/>
    <w:rsid w:val="000E5C6E"/>
    <w:rsid w:val="0011731C"/>
    <w:rsid w:val="00134559"/>
    <w:rsid w:val="001427DC"/>
    <w:rsid w:val="0015074B"/>
    <w:rsid w:val="00157EAF"/>
    <w:rsid w:val="00170CE1"/>
    <w:rsid w:val="00172EBA"/>
    <w:rsid w:val="00176EC1"/>
    <w:rsid w:val="001A3E81"/>
    <w:rsid w:val="001C128F"/>
    <w:rsid w:val="001D1407"/>
    <w:rsid w:val="001E4A8B"/>
    <w:rsid w:val="001E5D67"/>
    <w:rsid w:val="001F6D0E"/>
    <w:rsid w:val="00204D8B"/>
    <w:rsid w:val="00212A0E"/>
    <w:rsid w:val="0021558B"/>
    <w:rsid w:val="00217143"/>
    <w:rsid w:val="00220BDA"/>
    <w:rsid w:val="0023360F"/>
    <w:rsid w:val="002473BE"/>
    <w:rsid w:val="002556C5"/>
    <w:rsid w:val="00263A75"/>
    <w:rsid w:val="0027514D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4341D"/>
    <w:rsid w:val="00362670"/>
    <w:rsid w:val="00364FFA"/>
    <w:rsid w:val="003900CC"/>
    <w:rsid w:val="0039521E"/>
    <w:rsid w:val="003A02A7"/>
    <w:rsid w:val="003A3A97"/>
    <w:rsid w:val="003A5DB2"/>
    <w:rsid w:val="003B5DF2"/>
    <w:rsid w:val="003B7A12"/>
    <w:rsid w:val="003B7DEA"/>
    <w:rsid w:val="003C7FA1"/>
    <w:rsid w:val="003D0174"/>
    <w:rsid w:val="003F7817"/>
    <w:rsid w:val="00413D31"/>
    <w:rsid w:val="00440931"/>
    <w:rsid w:val="0045232B"/>
    <w:rsid w:val="00460181"/>
    <w:rsid w:val="00474EE0"/>
    <w:rsid w:val="00477234"/>
    <w:rsid w:val="004806E4"/>
    <w:rsid w:val="00490C87"/>
    <w:rsid w:val="0049360B"/>
    <w:rsid w:val="004A577B"/>
    <w:rsid w:val="004C19FB"/>
    <w:rsid w:val="004D2F30"/>
    <w:rsid w:val="004D6556"/>
    <w:rsid w:val="004F3533"/>
    <w:rsid w:val="004F6419"/>
    <w:rsid w:val="005014CD"/>
    <w:rsid w:val="00504757"/>
    <w:rsid w:val="00517CFC"/>
    <w:rsid w:val="00530CC9"/>
    <w:rsid w:val="00543F0E"/>
    <w:rsid w:val="00547C5E"/>
    <w:rsid w:val="00555191"/>
    <w:rsid w:val="0057038B"/>
    <w:rsid w:val="005D1431"/>
    <w:rsid w:val="005E7D6D"/>
    <w:rsid w:val="005F77E9"/>
    <w:rsid w:val="00606958"/>
    <w:rsid w:val="00614DF1"/>
    <w:rsid w:val="00635402"/>
    <w:rsid w:val="00636C02"/>
    <w:rsid w:val="00643CB0"/>
    <w:rsid w:val="0065130E"/>
    <w:rsid w:val="006608CE"/>
    <w:rsid w:val="00671768"/>
    <w:rsid w:val="00673450"/>
    <w:rsid w:val="006942DE"/>
    <w:rsid w:val="006B5472"/>
    <w:rsid w:val="006E2512"/>
    <w:rsid w:val="006F366F"/>
    <w:rsid w:val="007138C2"/>
    <w:rsid w:val="00714169"/>
    <w:rsid w:val="007458C1"/>
    <w:rsid w:val="00762984"/>
    <w:rsid w:val="00771C23"/>
    <w:rsid w:val="007B52C0"/>
    <w:rsid w:val="007B7E00"/>
    <w:rsid w:val="007C3C28"/>
    <w:rsid w:val="007C519E"/>
    <w:rsid w:val="007C6CE5"/>
    <w:rsid w:val="007D2105"/>
    <w:rsid w:val="007D3EBE"/>
    <w:rsid w:val="007D76F8"/>
    <w:rsid w:val="007D7B44"/>
    <w:rsid w:val="007F0EDD"/>
    <w:rsid w:val="007F200C"/>
    <w:rsid w:val="007F53AE"/>
    <w:rsid w:val="00802FD5"/>
    <w:rsid w:val="00815657"/>
    <w:rsid w:val="008170A1"/>
    <w:rsid w:val="008529AB"/>
    <w:rsid w:val="0085498B"/>
    <w:rsid w:val="00863E93"/>
    <w:rsid w:val="008916FA"/>
    <w:rsid w:val="008957C6"/>
    <w:rsid w:val="008C1640"/>
    <w:rsid w:val="0090295F"/>
    <w:rsid w:val="00907CAD"/>
    <w:rsid w:val="00941C93"/>
    <w:rsid w:val="00974196"/>
    <w:rsid w:val="00977E0D"/>
    <w:rsid w:val="0098514F"/>
    <w:rsid w:val="009915B2"/>
    <w:rsid w:val="0099483E"/>
    <w:rsid w:val="00997E2E"/>
    <w:rsid w:val="009A0624"/>
    <w:rsid w:val="009B4888"/>
    <w:rsid w:val="00A149CB"/>
    <w:rsid w:val="00A276F6"/>
    <w:rsid w:val="00A46355"/>
    <w:rsid w:val="00A96A40"/>
    <w:rsid w:val="00AA1D8D"/>
    <w:rsid w:val="00AC51FC"/>
    <w:rsid w:val="00AD19C4"/>
    <w:rsid w:val="00B04B3D"/>
    <w:rsid w:val="00B22EB7"/>
    <w:rsid w:val="00B474BE"/>
    <w:rsid w:val="00B47730"/>
    <w:rsid w:val="00B54250"/>
    <w:rsid w:val="00B614EE"/>
    <w:rsid w:val="00B64A2E"/>
    <w:rsid w:val="00B71DB1"/>
    <w:rsid w:val="00B72F19"/>
    <w:rsid w:val="00B76CBE"/>
    <w:rsid w:val="00B94D44"/>
    <w:rsid w:val="00BA21C1"/>
    <w:rsid w:val="00BA4457"/>
    <w:rsid w:val="00BB7754"/>
    <w:rsid w:val="00BF1A0A"/>
    <w:rsid w:val="00BF3A0D"/>
    <w:rsid w:val="00C023B4"/>
    <w:rsid w:val="00C043D9"/>
    <w:rsid w:val="00C52C1F"/>
    <w:rsid w:val="00C5797C"/>
    <w:rsid w:val="00C627A4"/>
    <w:rsid w:val="00C6492A"/>
    <w:rsid w:val="00C663DF"/>
    <w:rsid w:val="00C72784"/>
    <w:rsid w:val="00CB0664"/>
    <w:rsid w:val="00CE3CE1"/>
    <w:rsid w:val="00CF5767"/>
    <w:rsid w:val="00D010F1"/>
    <w:rsid w:val="00D15D18"/>
    <w:rsid w:val="00D27B0B"/>
    <w:rsid w:val="00D3559E"/>
    <w:rsid w:val="00D62385"/>
    <w:rsid w:val="00D65F24"/>
    <w:rsid w:val="00D94679"/>
    <w:rsid w:val="00DD799D"/>
    <w:rsid w:val="00E42075"/>
    <w:rsid w:val="00E5048C"/>
    <w:rsid w:val="00E60372"/>
    <w:rsid w:val="00E71416"/>
    <w:rsid w:val="00EA0966"/>
    <w:rsid w:val="00EC77A7"/>
    <w:rsid w:val="00EE6865"/>
    <w:rsid w:val="00EE6F82"/>
    <w:rsid w:val="00EF78D1"/>
    <w:rsid w:val="00F038E0"/>
    <w:rsid w:val="00F10FB7"/>
    <w:rsid w:val="00F35958"/>
    <w:rsid w:val="00F46663"/>
    <w:rsid w:val="00F51697"/>
    <w:rsid w:val="00F67D4A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76CB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76CB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76CBE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636C02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636C02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1902</Words>
  <Characters>10462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 Polanco</cp:lastModifiedBy>
  <cp:revision>68</cp:revision>
  <cp:lastPrinted>2026-01-20T21:57:00Z</cp:lastPrinted>
  <dcterms:created xsi:type="dcterms:W3CDTF">2026-02-13T01:04:00Z</dcterms:created>
  <dcterms:modified xsi:type="dcterms:W3CDTF">2026-05-19T00:12:00Z</dcterms:modified>
  <cp:category/>
</cp:coreProperties>
</file>