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E7F7E" w:rsidRDefault="00BE7F7E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Reporte Mensual de Monitoreo y Alertamiento</w:t>
      </w:r>
    </w:p>
    <w:p w:rsidR="00BE7F7E" w:rsidRDefault="00BE7F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Mayo 2026 </w:t>
      </w:r>
    </w:p>
    <w:p w:rsidR="00BE7F7E" w:rsidRDefault="00BE7F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:rsidR="00BE7F7E" w:rsidRDefault="00BE7F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:rsidR="00BE7F7E" w:rsidRDefault="00BE7F7E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5" style="width:0;height:1.5pt" o:hralign="center" o:hrstd="t" o:hr="t" fillcolor="#a0a0a0" stroked="f"/>
        </w:pict>
      </w:r>
    </w:p>
    <w:p w:rsidR="00BE7F7E" w:rsidRDefault="00BE7F7E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:rsidR="00BE7F7E" w:rsidRDefault="00BE7F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el avance exclusivo de mayo de 2026 sobre monitoreo y alertamiento, privilegiando métricas capturadas, pruebas ejecutadas, incidencias observadas, umbrales revisados y procedimientos de atención aplicados durante el mes.</w:t>
      </w:r>
    </w:p>
    <w:p w:rsidR="00BE7F7E" w:rsidRDefault="00BE7F7E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Criterio de Separación por Mes</w:t>
      </w:r>
    </w:p>
    <w:p w:rsidR="00BE7F7E" w:rsidRDefault="00BE7F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Abril definió el esquema base de observabilidad. Mayo debe registrar únicamente:</w:t>
      </w:r>
    </w:p>
    <w:p w:rsidR="00BE7F7E" w:rsidRDefault="00BE7F7E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mediciones o pruebas realizadas en mayo;</w:t>
      </w:r>
    </w:p>
    <w:p w:rsidR="00BE7F7E" w:rsidRDefault="00BE7F7E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umbrales revisados o contrastados en mayo;</w:t>
      </w:r>
    </w:p>
    <w:p w:rsidR="00BE7F7E" w:rsidRDefault="00BE7F7E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eventos, incidencias o alertas observadas en mayo;</w:t>
      </w:r>
    </w:p>
    <w:p w:rsidR="00BE7F7E" w:rsidRDefault="00BE7F7E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acciones correctivas o de seguimiento ejecutadas en mayo.</w:t>
      </w:r>
    </w:p>
    <w:p w:rsidR="00BE7F7E" w:rsidRDefault="00BE7F7E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Enfoque de Trabajo para Mayo</w:t>
      </w:r>
    </w:p>
    <w:p w:rsidR="00BE7F7E" w:rsidRDefault="00BE7F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seguimiento del mes debe concentrarse en validar si las superficies de observabilidad definidas en abril son suficientes y útiles en condiciones reales o controladas:</w:t>
      </w:r>
    </w:p>
    <w:p w:rsidR="00BE7F7E" w:rsidRDefault="00BE7F7E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logs estructurados;</w:t>
      </w:r>
    </w:p>
    <w:p w:rsidR="00BE7F7E" w:rsidRDefault="00BE7F7E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lotes en ejecución;</w:t>
      </w:r>
    </w:p>
    <w:p w:rsidR="00BE7F7E" w:rsidRDefault="00BE7F7E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resultados por CURP;</w:t>
      </w:r>
    </w:p>
    <w:p w:rsidR="00BE7F7E" w:rsidRDefault="00BE7F7E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bitácora de eventos;</w:t>
      </w:r>
    </w:p>
    <w:p w:rsidR="00BE7F7E" w:rsidRDefault="00BE7F7E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salidas físicas de PDFs;</w:t>
      </w:r>
    </w:p>
    <w:p w:rsidR="00BE7F7E" w:rsidRDefault="00BE7F7E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reprocesos y reanudaciones.</w:t>
      </w:r>
    </w:p>
    <w:p w:rsidR="00BE7F7E" w:rsidRDefault="00BE7F7E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Evidencia Esperada para Mayo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8"/>
        <w:gridCol w:w="6114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E7F7E" w:rsidRDefault="00BE7F7E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lastRenderedPageBreak/>
              <w:t>Rubro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E7F7E" w:rsidRDefault="00BE7F7E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Evidencia esperada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E7F7E" w:rsidRDefault="00BE7F7E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Mé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>tricas capturadas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E7F7E" w:rsidRDefault="00BE7F7E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Tiempo por lote, fallos, reintentos, PDFs, lotes abiertos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E7F7E" w:rsidRDefault="00BE7F7E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Umbrales contrastados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E7F7E" w:rsidRDefault="00BE7F7E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Casos donde el umbral sirvió o no sirvió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E7F7E" w:rsidRDefault="00BE7F7E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Incidencias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E7F7E" w:rsidRDefault="00BE7F7E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Eventos preventivos o críticos observados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E7F7E" w:rsidRDefault="00BE7F7E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Atención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E7F7E" w:rsidRDefault="00BE7F7E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Acción realizada, resultado y seguimiento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E7F7E" w:rsidRDefault="00BE7F7E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Pruebas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E7F7E" w:rsidRDefault="00BE7F7E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Ejercicios controlados o validaciones del esquema</w:t>
            </w:r>
          </w:p>
        </w:tc>
      </w:tr>
    </w:tbl>
    <w:p w:rsidR="00BE7F7E" w:rsidRDefault="00BE7F7E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Secciones a Completar en Mayo</w:t>
      </w:r>
    </w:p>
    <w:p w:rsidR="00BE7F7E" w:rsidRDefault="00BE7F7E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 Métricas del mes</w:t>
      </w:r>
    </w:p>
    <w:p w:rsidR="00BE7F7E" w:rsidRDefault="00BE7F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las métricas que efectivamente se hayan capturado durante mayo y su fuente de obtención.</w:t>
      </w:r>
    </w:p>
    <w:p w:rsidR="00BE7F7E" w:rsidRDefault="00BE7F7E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 Incidencias y alertas observadas</w:t>
      </w:r>
    </w:p>
    <w:p w:rsidR="00BE7F7E" w:rsidRDefault="00BE7F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eventos relevantes del mes, diferenciando informativos, preventivos y críticos.</w:t>
      </w:r>
    </w:p>
    <w:p w:rsidR="00BE7F7E" w:rsidRDefault="00BE7F7E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 Validación de umbrales</w:t>
      </w:r>
    </w:p>
    <w:p w:rsidR="00BE7F7E" w:rsidRDefault="00BE7F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Documentar si los umbrales iniciales definidos en abril funcionaron, requieren ajuste o siguen sin evidencia suficiente.</w:t>
      </w:r>
    </w:p>
    <w:p w:rsidR="00BE7F7E" w:rsidRDefault="00BE7F7E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 Procedimientos de atención aplicados</w:t>
      </w:r>
    </w:p>
    <w:p w:rsidR="00BE7F7E" w:rsidRDefault="00BE7F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si hubo reproceso, reanudación, revisión manual, confirmación en BD o contrastes contra archivos físicos.</w:t>
      </w:r>
    </w:p>
    <w:p w:rsidR="00BE7F7E" w:rsidRDefault="00BE7F7E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Riesgos y Dependencias para Mayo</w:t>
      </w:r>
    </w:p>
    <w:p w:rsidR="00BE7F7E" w:rsidRDefault="00BE7F7E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No contar con eventos suficientes para calibrar umbrales.</w:t>
      </w:r>
    </w:p>
    <w:p w:rsidR="00BE7F7E" w:rsidRDefault="00BE7F7E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Mantener métricas definidas pero no instrumentadas.</w:t>
      </w:r>
    </w:p>
    <w:p w:rsidR="00BE7F7E" w:rsidRDefault="00BE7F7E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Mezclar ejemplos hipotéticos de abril con incidentes observados en mayo.</w:t>
      </w:r>
    </w:p>
    <w:p w:rsidR="00BE7F7E" w:rsidRDefault="00BE7F7E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7. Próximos Pasos</w:t>
      </w:r>
    </w:p>
    <w:p w:rsidR="00BE7F7E" w:rsidRDefault="00BE7F7E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Consolidar evidencia de observabilidad y atención de incidentes del mes.</w:t>
      </w:r>
    </w:p>
    <w:p w:rsidR="00BE7F7E" w:rsidRDefault="00BE7F7E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Ajustar métricas y umbrales con base en casos reales o controlados.</w:t>
      </w:r>
    </w:p>
    <w:p w:rsidR="00BE7F7E" w:rsidRDefault="00BE7F7E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Preparar un cierre trimestral con trazabilidad clara entre evento, alerta y respuesta.</w:t>
      </w:r>
    </w:p>
    <w:p w:rsidR="00BE7F7E" w:rsidRDefault="00BE7F7E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6" style="width:0;height:1.5pt" o:hralign="center" o:hrstd="t" o:hr="t" fillcolor="#a0a0a0" stroked="f"/>
        </w:pict>
      </w:r>
    </w:p>
    <w:p w:rsidR="00BE7F7E" w:rsidRDefault="00BE7F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Comentarios adicionales:</w:t>
      </w:r>
    </w:p>
    <w:p w:rsidR="00BE7F7E" w:rsidRDefault="00BE7F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documento de mayo debe expresar comportamiento observado durante el mes, evitando repetir definiciones generales ya asentadas en abril salvo como referencia puntual.</w:t>
      </w:r>
    </w:p>
    <w:sectPr w:rsidR="00BE7F7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030A7A"/>
    <w:multiLevelType w:val="multilevel"/>
    <w:tmpl w:val="2BDA9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615380"/>
    <w:multiLevelType w:val="multilevel"/>
    <w:tmpl w:val="1D049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35428C"/>
    <w:multiLevelType w:val="multilevel"/>
    <w:tmpl w:val="55E6B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DB38DF"/>
    <w:multiLevelType w:val="multilevel"/>
    <w:tmpl w:val="15966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7826034">
    <w:abstractNumId w:val="3"/>
  </w:num>
  <w:num w:numId="2" w16cid:durableId="1335841851">
    <w:abstractNumId w:val="2"/>
  </w:num>
  <w:num w:numId="3" w16cid:durableId="918369901">
    <w:abstractNumId w:val="0"/>
  </w:num>
  <w:num w:numId="4" w16cid:durableId="14594949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462"/>
    <w:rsid w:val="00304462"/>
    <w:rsid w:val="00B9500C"/>
    <w:rsid w:val="00BE7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4074A4C-DFCB-4884-A4C2-A454B5896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1F1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color w:val="1F1F1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F1F1F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410</Words>
  <Characters>2256</Characters>
  <Application>Microsoft Office Word</Application>
  <DocSecurity>0</DocSecurity>
  <Lines>18</Lines>
  <Paragraphs>5</Paragraphs>
  <ScaleCrop>false</ScaleCrop>
  <Company/>
  <LinksUpToDate>false</LinksUpToDate>
  <CharactersWithSpaces>2661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Lelo de Larrea Polanco</dc:creator>
  <cp:keywords/>
  <dc:description/>
  <cp:lastModifiedBy>Victor Lelo de Larrea Polanco</cp:lastModifiedBy>
  <cp:revision>2</cp:revision>
  <dcterms:created xsi:type="dcterms:W3CDTF">2026-05-18T23:00:00Z</dcterms:created>
  <dcterms:modified xsi:type="dcterms:W3CDTF">2026-05-18T23:00:00Z</dcterms:modified>
</cp:coreProperties>
</file>