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610EA" w:rsidRDefault="008610EA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Informe Mensual de Optimización de Rendimiento de Bases de Datos</w:t>
      </w:r>
    </w:p>
    <w:p w:rsidR="008610EA" w:rsidRDefault="008610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:rsidR="008610EA" w:rsidRDefault="008610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:rsidR="008610EA" w:rsidRDefault="008610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:rsidR="008610EA" w:rsidRDefault="008610EA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5" style="width:0;height:1.5pt" o:hralign="center" o:hrstd="t" o:hr="t" fillcolor="#a0a0a0" stroked="f"/>
        </w:pict>
      </w:r>
    </w:p>
    <w:p w:rsidR="008610EA" w:rsidRDefault="008610E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:rsidR="008610EA" w:rsidRDefault="008610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exclusivamente el avance de junio de 2026 en materia de rendimiento de bases de datos, privilegiando cierre comparativo, hallazgos consolidados y recomendaciones finales sustentadas en evidencia del trimestre.</w:t>
      </w:r>
    </w:p>
    <w:p w:rsidR="008610EA" w:rsidRDefault="008610E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Criterio de Separación por Mes</w:t>
      </w:r>
    </w:p>
    <w:p w:rsidR="008610EA" w:rsidRDefault="008610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Abril documentó la línea base y mayo concentró la evidencia operativa inicial. Junio debe enfocarse únicamente en:</w:t>
      </w:r>
    </w:p>
    <w:p w:rsidR="008610EA" w:rsidRDefault="008610E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comparativos consolidados al cierre del trimestre;</w:t>
      </w:r>
    </w:p>
    <w:p w:rsidR="008610EA" w:rsidRDefault="008610E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hallazgos finales sobre concurrencia, índices o tiempos;</w:t>
      </w:r>
    </w:p>
    <w:p w:rsidR="008610EA" w:rsidRDefault="008610E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decisiones técnicas confirmadas en junio;</w:t>
      </w:r>
    </w:p>
    <w:p w:rsidR="008610EA" w:rsidRDefault="008610E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recomendaciones posteriores al corte trimestral.</w:t>
      </w:r>
    </w:p>
    <w:p w:rsidR="008610EA" w:rsidRDefault="008610E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Enfoque de Trabajo para Junio</w:t>
      </w:r>
    </w:p>
    <w:p w:rsidR="008610EA" w:rsidRDefault="008610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junio el seguimiento de rendimiento deberá orientarse a cerrar con evidencia los puntos críticos ya delimitados:</w:t>
      </w:r>
    </w:p>
    <w:p w:rsidR="008610EA" w:rsidRDefault="008610E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extracción desde </w:t>
      </w:r>
      <w:r>
        <w:rPr>
          <w:rStyle w:val="CdigoHTML"/>
        </w:rPr>
        <w:t>menor_evaluado</w:t>
      </w:r>
      <w:r>
        <w:rPr>
          <w:rFonts w:ascii="Calibri" w:eastAsia="Times New Roman" w:hAnsi="Calibri" w:cs="Calibri"/>
          <w:sz w:val="22"/>
          <w:szCs w:val="22"/>
        </w:rPr>
        <w:t xml:space="preserve"> y </w:t>
      </w:r>
      <w:r>
        <w:rPr>
          <w:rStyle w:val="CdigoHTML"/>
        </w:rPr>
        <w:t>catalogo_cct</w:t>
      </w:r>
      <w:r>
        <w:rPr>
          <w:rFonts w:ascii="Calibri" w:eastAsia="Times New Roman" w:hAnsi="Calibri" w:cs="Calibri"/>
          <w:sz w:val="22"/>
          <w:szCs w:val="22"/>
        </w:rPr>
        <w:t>;</w:t>
      </w:r>
    </w:p>
    <w:p w:rsidR="008610EA" w:rsidRDefault="008610E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reprocesos basados en </w:t>
      </w:r>
      <w:r>
        <w:rPr>
          <w:rStyle w:val="CdigoHTML"/>
        </w:rPr>
        <w:t>CurpProcesada</w:t>
      </w:r>
      <w:r>
        <w:rPr>
          <w:rFonts w:ascii="Calibri" w:eastAsia="Times New Roman" w:hAnsi="Calibri" w:cs="Calibri"/>
          <w:sz w:val="22"/>
          <w:szCs w:val="22"/>
        </w:rPr>
        <w:t>;</w:t>
      </w:r>
    </w:p>
    <w:p w:rsidR="008610EA" w:rsidRDefault="008610E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recuperación de pendientes por </w:t>
      </w:r>
      <w:r>
        <w:rPr>
          <w:rStyle w:val="CdigoHTML"/>
        </w:rPr>
        <w:t>id_lote</w:t>
      </w:r>
      <w:r>
        <w:rPr>
          <w:rFonts w:ascii="Calibri" w:eastAsia="Times New Roman" w:hAnsi="Calibri" w:cs="Calibri"/>
          <w:sz w:val="22"/>
          <w:szCs w:val="22"/>
        </w:rPr>
        <w:t>;</w:t>
      </w:r>
    </w:p>
    <w:p w:rsidR="008610EA" w:rsidRDefault="008610E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escrituras y crecimiento operativo en </w:t>
      </w:r>
      <w:r>
        <w:rPr>
          <w:rStyle w:val="CdigoHTML"/>
        </w:rPr>
        <w:t>CurpProcesada</w:t>
      </w:r>
      <w:r>
        <w:rPr>
          <w:rFonts w:ascii="Calibri" w:eastAsia="Times New Roman" w:hAnsi="Calibri" w:cs="Calibri"/>
          <w:sz w:val="22"/>
          <w:szCs w:val="22"/>
        </w:rPr>
        <w:t xml:space="preserve"> y </w:t>
      </w:r>
      <w:r>
        <w:rPr>
          <w:rStyle w:val="CdigoHTML"/>
        </w:rPr>
        <w:t>BitacoraEvento</w:t>
      </w:r>
      <w:r>
        <w:rPr>
          <w:rFonts w:ascii="Calibri" w:eastAsia="Times New Roman" w:hAnsi="Calibri" w:cs="Calibri"/>
          <w:sz w:val="22"/>
          <w:szCs w:val="22"/>
        </w:rPr>
        <w:t>;</w:t>
      </w:r>
    </w:p>
    <w:p w:rsidR="008610EA" w:rsidRDefault="008610E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sensibilidad del proceso a la concurrencia definida por </w:t>
      </w:r>
      <w:r>
        <w:rPr>
          <w:rStyle w:val="CdigoHTML"/>
        </w:rPr>
        <w:t>WORKERS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8610EA" w:rsidRDefault="008610E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Evidencia Esperada para Junio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8"/>
        <w:gridCol w:w="6694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8610EA" w:rsidRDefault="008610EA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lastRenderedPageBreak/>
              <w:t>Rubro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8610EA" w:rsidRDefault="008610EA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Evidencia esperada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8610EA" w:rsidRDefault="008610EA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Consultas medidas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8610EA" w:rsidRDefault="008610EA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Tiempo, volumen y contexto de ejecución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8610EA" w:rsidRDefault="008610EA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Índices revisados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8610EA" w:rsidRDefault="008610EA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Estado, uso esperado y observación del mes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8610EA" w:rsidRDefault="008610EA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Comparativos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8610EA" w:rsidRDefault="008610EA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Antes/despué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>s o referencia base vs resultado actual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8610EA" w:rsidRDefault="008610EA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Concurrencia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8610EA" w:rsidRDefault="008610EA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Impacto observado por volumen de hilos o presión de escritura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8610EA" w:rsidRDefault="008610EA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Riesgos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8610EA" w:rsidRDefault="008610EA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Degradaciones, cuellos de botella o crecimiento de tablas</w:t>
            </w:r>
          </w:p>
        </w:tc>
      </w:tr>
    </w:tbl>
    <w:p w:rsidR="008610EA" w:rsidRDefault="008610E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Secciones a Completar en Junio</w:t>
      </w:r>
    </w:p>
    <w:p w:rsidR="008610EA" w:rsidRDefault="008610E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 Mediciones del mes</w:t>
      </w:r>
    </w:p>
    <w:p w:rsidR="008610EA" w:rsidRDefault="008610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tiempos de respuesta, comportamiento de consultas críticas y cualquier evidencia cuantitativa consolidada al cierre de junio.</w:t>
      </w:r>
    </w:p>
    <w:p w:rsidR="008610EA" w:rsidRDefault="008610E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 Revisión de índices y planes</w:t>
      </w:r>
    </w:p>
    <w:p w:rsidR="008610EA" w:rsidRDefault="008610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Documentar si se analizaron í</w:t>
      </w:r>
      <w:r>
        <w:rPr>
          <w:rFonts w:ascii="Calibri" w:hAnsi="Calibri" w:cs="Calibri"/>
          <w:sz w:val="22"/>
          <w:szCs w:val="22"/>
        </w:rPr>
        <w:t>ndices existentes, se propusieron ajustes más precisos o se levantaron planes de ejecución.</w:t>
      </w:r>
    </w:p>
    <w:p w:rsidR="008610EA" w:rsidRDefault="008610E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 Impacto de concurrencia</w:t>
      </w:r>
    </w:p>
    <w:p w:rsidR="008610EA" w:rsidRDefault="008610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si se observaron efectos operativos de la concurrencia sobre lecturas, inserciones, actualizaciones o estabilidad general.</w:t>
      </w:r>
    </w:p>
    <w:p w:rsidR="008610EA" w:rsidRDefault="008610E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 Riesgos de crecimiento</w:t>
      </w:r>
    </w:p>
    <w:p w:rsidR="008610EA" w:rsidRDefault="008610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Documentar crecimiento o presión observada en </w:t>
      </w:r>
      <w:r>
        <w:rPr>
          <w:rStyle w:val="CdigoHTML"/>
        </w:rPr>
        <w:t>Lote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CurpProcesada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CdigoHTML"/>
        </w:rPr>
        <w:t>BitacoraEvento</w:t>
      </w:r>
      <w:r>
        <w:rPr>
          <w:rFonts w:ascii="Calibri" w:hAnsi="Calibri" w:cs="Calibri"/>
          <w:sz w:val="22"/>
          <w:szCs w:val="22"/>
        </w:rPr>
        <w:t xml:space="preserve"> y demás superficies relevantes.</w:t>
      </w:r>
    </w:p>
    <w:p w:rsidR="008610EA" w:rsidRDefault="008610E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Riesgos y Dependencias para Junio</w:t>
      </w:r>
    </w:p>
    <w:p w:rsidR="008610EA" w:rsidRDefault="008610E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No contar con comparativos suficientes para sostener conclusiones finales.</w:t>
      </w:r>
    </w:p>
    <w:p w:rsidR="008610EA" w:rsidRDefault="008610E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Limitarse a hipótesis sin evidencia cuantitativa consolidada.</w:t>
      </w:r>
    </w:p>
    <w:p w:rsidR="008610EA" w:rsidRDefault="008610E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lastRenderedPageBreak/>
        <w:t>Mezclar línea base, evidencia operativa y cierre trimestral sin distinguirlos claramente.</w:t>
      </w:r>
    </w:p>
    <w:p w:rsidR="008610EA" w:rsidRDefault="008610E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Próximos Pasos</w:t>
      </w:r>
    </w:p>
    <w:p w:rsidR="008610EA" w:rsidRDefault="008610EA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Consolidar resultados comparativos obtenidos en mayo.</w:t>
      </w:r>
    </w:p>
    <w:p w:rsidR="008610EA" w:rsidRDefault="008610EA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Priorizar optimizaciones que sí cuenten con sustento observable.</w:t>
      </w:r>
    </w:p>
    <w:p w:rsidR="008610EA" w:rsidRDefault="008610EA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Preparar junio con capacidad de cierre trimestral antes/después.</w:t>
      </w:r>
    </w:p>
    <w:p w:rsidR="008610EA" w:rsidRDefault="008610EA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6" style="width:0;height:1.5pt" o:hralign="center" o:hrstd="t" o:hr="t" fillcolor="#a0a0a0" stroked="f"/>
        </w:pict>
      </w:r>
    </w:p>
    <w:p w:rsidR="008610EA" w:rsidRDefault="008610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:rsidR="008610EA" w:rsidRDefault="008610E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entregable de junio debe dejar evidencia comparativa consolidada y conclusiones finales del trimestre, manteniendo separadas la línea base de abril y la evidencia operativa de mayo.</w:t>
      </w:r>
    </w:p>
    <w:sectPr w:rsidR="008610E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242AA"/>
    <w:multiLevelType w:val="multilevel"/>
    <w:tmpl w:val="4F4EB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5E78B0"/>
    <w:multiLevelType w:val="multilevel"/>
    <w:tmpl w:val="84009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BE660C"/>
    <w:multiLevelType w:val="multilevel"/>
    <w:tmpl w:val="DB50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FB5075"/>
    <w:multiLevelType w:val="multilevel"/>
    <w:tmpl w:val="B02C3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5671093">
    <w:abstractNumId w:val="2"/>
  </w:num>
  <w:num w:numId="2" w16cid:durableId="560989423">
    <w:abstractNumId w:val="3"/>
  </w:num>
  <w:num w:numId="3" w16cid:durableId="1593318549">
    <w:abstractNumId w:val="0"/>
  </w:num>
  <w:num w:numId="4" w16cid:durableId="3651771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F63"/>
    <w:rsid w:val="00327C07"/>
    <w:rsid w:val="00851F63"/>
    <w:rsid w:val="00861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FF8536-8F72-4BDE-A2FC-2B356B8A9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445</Words>
  <Characters>2452</Characters>
  <Application>Microsoft Office Word</Application>
  <DocSecurity>0</DocSecurity>
  <Lines>20</Lines>
  <Paragraphs>5</Paragraphs>
  <ScaleCrop>false</ScaleCrop>
  <Company/>
  <LinksUpToDate>false</LinksUpToDate>
  <CharactersWithSpaces>2892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 Polanco</dc:creator>
  <cp:keywords/>
  <dc:description/>
  <cp:lastModifiedBy>Victor Lelo de Larrea Polanco</cp:lastModifiedBy>
  <cp:revision>2</cp:revision>
  <dcterms:created xsi:type="dcterms:W3CDTF">2026-05-18T23:23:00Z</dcterms:created>
  <dcterms:modified xsi:type="dcterms:W3CDTF">2026-05-18T23:23:00Z</dcterms:modified>
</cp:coreProperties>
</file>