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988D" w14:textId="77777777" w:rsidR="006566BD" w:rsidRDefault="006566BD">
      <w:pPr>
        <w:pStyle w:val="Ttulo1"/>
        <w:rPr>
          <w:rFonts w:ascii="Calibri" w:eastAsia="Times New Roman" w:hAnsi="Calibri" w:cs="Calibri"/>
        </w:rPr>
      </w:pPr>
      <w:r>
        <w:rPr>
          <w:rFonts w:ascii="Calibri" w:eastAsia="Times New Roman" w:hAnsi="Calibri" w:cs="Calibri"/>
        </w:rPr>
        <w:t>Informe Mensual de Actividades</w:t>
      </w:r>
    </w:p>
    <w:p w14:paraId="7C232BCA" w14:textId="77777777" w:rsidR="006566BD" w:rsidRDefault="006566BD">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Abril 2026 </w:t>
      </w:r>
    </w:p>
    <w:p w14:paraId="6C53EB07" w14:textId="77777777" w:rsidR="006566BD" w:rsidRDefault="006566BD">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6A6C551D" w14:textId="77777777" w:rsidR="006566BD" w:rsidRDefault="006566BD">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590A3730" w14:textId="77777777" w:rsidR="006566BD" w:rsidRDefault="006566BD">
      <w:pPr>
        <w:rPr>
          <w:rFonts w:ascii="Calibri" w:eastAsia="Times New Roman" w:hAnsi="Calibri" w:cs="Calibri"/>
        </w:rPr>
      </w:pPr>
      <w:r>
        <w:rPr>
          <w:rFonts w:ascii="Calibri" w:eastAsia="Times New Roman" w:hAnsi="Calibri" w:cs="Calibri"/>
        </w:rPr>
        <w:pict w14:anchorId="13270D8F">
          <v:rect id="_x0000_i1025" style="width:0;height:1.5pt" o:hralign="center" o:hrstd="t" o:hr="t" fillcolor="#a0a0a0" stroked="f"/>
        </w:pict>
      </w:r>
    </w:p>
    <w:p w14:paraId="77F41DBA" w14:textId="77777777" w:rsidR="006566BD" w:rsidRDefault="006566BD">
      <w:pPr>
        <w:pStyle w:val="Ttulo2"/>
        <w:rPr>
          <w:rFonts w:ascii="Calibri" w:eastAsia="Times New Roman" w:hAnsi="Calibri" w:cs="Calibri"/>
        </w:rPr>
      </w:pPr>
      <w:r>
        <w:rPr>
          <w:rFonts w:ascii="Calibri" w:eastAsia="Times New Roman" w:hAnsi="Calibri" w:cs="Calibri"/>
        </w:rPr>
        <w:t>1. Resumen Ejecutivo</w:t>
      </w:r>
    </w:p>
    <w:p w14:paraId="6B255AFC" w14:textId="77777777" w:rsidR="006566BD" w:rsidRDefault="006566BD">
      <w:pPr>
        <w:pStyle w:val="NormalWeb"/>
        <w:rPr>
          <w:rFonts w:ascii="Calibri" w:hAnsi="Calibri" w:cs="Calibri"/>
          <w:sz w:val="22"/>
          <w:szCs w:val="22"/>
        </w:rPr>
      </w:pPr>
      <w:r>
        <w:rPr>
          <w:rFonts w:ascii="Calibri" w:hAnsi="Calibri" w:cs="Calibri"/>
          <w:sz w:val="22"/>
          <w:szCs w:val="22"/>
        </w:rPr>
        <w:t xml:space="preserve">Durante abril de 2026 inició formalmente una nueva etapa contractual orientada al desarrollo técnico y documental de cinco líneas de trabajo: proceso integral del proyecto Vida Saludable, optimización de rendimiento de bases de datos, monitoreo y alertamiento, preparación de datos para inteligencia artificial, y procesos de ingesta y transformación ETL/ELT. El mes se concentró en construir una línea base técnica verificable a partir del repositorio de apoyo </w:t>
      </w:r>
      <w:r>
        <w:rPr>
          <w:rStyle w:val="CdigoHTML"/>
        </w:rPr>
        <w:t>py-sep-descarga-vida-saludable</w:t>
      </w:r>
      <w:r>
        <w:rPr>
          <w:rFonts w:ascii="Calibri" w:hAnsi="Calibri" w:cs="Calibri"/>
          <w:sz w:val="22"/>
          <w:szCs w:val="22"/>
        </w:rPr>
        <w:t>, con énfasis en componentes ejecutables, modelo de datos, trazabilidad y dependencias operativas.</w:t>
      </w:r>
    </w:p>
    <w:p w14:paraId="13205D7A" w14:textId="77777777" w:rsidR="006566BD" w:rsidRDefault="006566BD">
      <w:pPr>
        <w:pStyle w:val="NormalWeb"/>
        <w:rPr>
          <w:rFonts w:ascii="Calibri" w:hAnsi="Calibri" w:cs="Calibri"/>
          <w:sz w:val="22"/>
          <w:szCs w:val="22"/>
        </w:rPr>
      </w:pPr>
      <w:r>
        <w:rPr>
          <w:rFonts w:ascii="Calibri" w:hAnsi="Calibri" w:cs="Calibri"/>
          <w:sz w:val="22"/>
          <w:szCs w:val="22"/>
        </w:rPr>
        <w:t xml:space="preserve">El principal resultado de abril fue delimitar con precisión el flujo actualmente observable del proyecto: extracción desde PostgreSQL sobre </w:t>
      </w:r>
      <w:r>
        <w:rPr>
          <w:rStyle w:val="CdigoHTML"/>
        </w:rPr>
        <w:t>menor_evaluado</w:t>
      </w:r>
      <w:r>
        <w:rPr>
          <w:rFonts w:ascii="Calibri" w:hAnsi="Calibri" w:cs="Calibri"/>
          <w:sz w:val="22"/>
          <w:szCs w:val="22"/>
        </w:rPr>
        <w:t xml:space="preserve"> y </w:t>
      </w:r>
      <w:r>
        <w:rPr>
          <w:rStyle w:val="CdigoHTML"/>
        </w:rPr>
        <w:t>catalogo_cct</w:t>
      </w:r>
      <w:r>
        <w:rPr>
          <w:rFonts w:ascii="Calibri" w:hAnsi="Calibri" w:cs="Calibri"/>
          <w:sz w:val="22"/>
          <w:szCs w:val="22"/>
        </w:rPr>
        <w:t xml:space="preserve">, registro de lotes en </w:t>
      </w:r>
      <w:r>
        <w:rPr>
          <w:rStyle w:val="CdigoHTML"/>
        </w:rPr>
        <w:t>Lote</w:t>
      </w:r>
      <w:r>
        <w:rPr>
          <w:rFonts w:ascii="Calibri" w:hAnsi="Calibri" w:cs="Calibri"/>
          <w:sz w:val="22"/>
          <w:szCs w:val="22"/>
        </w:rPr>
        <w:t xml:space="preserve">, procesamiento concurrente por CURP, consulta cifrada al servicio IMSS, persistencia de resultados en </w:t>
      </w:r>
      <w:r>
        <w:rPr>
          <w:rStyle w:val="CdigoHTML"/>
        </w:rPr>
        <w:t>CurpProcesada</w:t>
      </w:r>
      <w:r>
        <w:rPr>
          <w:rFonts w:ascii="Calibri" w:hAnsi="Calibri" w:cs="Calibri"/>
          <w:sz w:val="22"/>
          <w:szCs w:val="22"/>
        </w:rPr>
        <w:t xml:space="preserve">, registro de eventos en </w:t>
      </w:r>
      <w:r>
        <w:rPr>
          <w:rStyle w:val="CdigoHTML"/>
        </w:rPr>
        <w:t>BitacoraEvento</w:t>
      </w:r>
      <w:r>
        <w:rPr>
          <w:rFonts w:ascii="Calibri" w:hAnsi="Calibri" w:cs="Calibri"/>
          <w:sz w:val="22"/>
          <w:szCs w:val="22"/>
        </w:rPr>
        <w:t>, escritura de PDFs por estado/CCT/ciclo escolar y mecanismos complementarios de reproceso y reanudación. A partir de ese flujo se derivaron los cinco entregables técnicos del mes.</w:t>
      </w:r>
    </w:p>
    <w:p w14:paraId="5BAEC266" w14:textId="77777777" w:rsidR="006566BD" w:rsidRDefault="006566BD">
      <w:pPr>
        <w:pStyle w:val="NormalWeb"/>
        <w:rPr>
          <w:rFonts w:ascii="Calibri" w:hAnsi="Calibri" w:cs="Calibri"/>
          <w:sz w:val="22"/>
          <w:szCs w:val="22"/>
        </w:rPr>
      </w:pPr>
      <w:r>
        <w:rPr>
          <w:rFonts w:ascii="Calibri" w:hAnsi="Calibri" w:cs="Calibri"/>
          <w:sz w:val="22"/>
          <w:szCs w:val="22"/>
        </w:rPr>
        <w:t>Como resultado, abril cerró no solo con una base documental, sino con una especificación técnica suficientemente consistente para que mayo se concentre en evidencia operativa, mediciones comparativas, calibración de umbrales, construcción de datasets piloto y formalización de procesos ETL/ELT sobre insumos controlados.</w:t>
      </w:r>
    </w:p>
    <w:p w14:paraId="5A649BEB" w14:textId="77777777" w:rsidR="006566BD" w:rsidRDefault="006566BD">
      <w:pPr>
        <w:pStyle w:val="Ttulo2"/>
        <w:rPr>
          <w:rFonts w:ascii="Calibri" w:eastAsia="Times New Roman" w:hAnsi="Calibri" w:cs="Calibri"/>
        </w:rPr>
      </w:pPr>
      <w:r>
        <w:rPr>
          <w:rFonts w:ascii="Calibri" w:eastAsia="Times New Roman" w:hAnsi="Calibri" w:cs="Calibri"/>
        </w:rPr>
        <w:t>2. Actividades Realizadas</w:t>
      </w:r>
    </w:p>
    <w:p w14:paraId="60BE708B" w14:textId="77777777" w:rsidR="006566BD" w:rsidRDefault="006566BD">
      <w:pPr>
        <w:pStyle w:val="Ttulo3"/>
        <w:rPr>
          <w:rFonts w:ascii="Calibri" w:eastAsia="Times New Roman" w:hAnsi="Calibri" w:cs="Calibri"/>
        </w:rPr>
      </w:pPr>
      <w:r>
        <w:rPr>
          <w:rFonts w:ascii="Calibri" w:eastAsia="Times New Roman" w:hAnsi="Calibri" w:cs="Calibri"/>
        </w:rPr>
        <w:t>2.1 Análisis del proceso integral del proyecto Vida Saludable</w:t>
      </w:r>
    </w:p>
    <w:p w14:paraId="04F06D1A" w14:textId="77777777" w:rsidR="006566BD" w:rsidRDefault="006566BD">
      <w:pPr>
        <w:pStyle w:val="NormalWeb"/>
        <w:rPr>
          <w:rFonts w:ascii="Calibri" w:hAnsi="Calibri" w:cs="Calibri"/>
          <w:sz w:val="22"/>
          <w:szCs w:val="22"/>
        </w:rPr>
      </w:pPr>
      <w:r>
        <w:rPr>
          <w:rFonts w:ascii="Calibri" w:hAnsi="Calibri" w:cs="Calibri"/>
          <w:sz w:val="22"/>
          <w:szCs w:val="22"/>
        </w:rPr>
        <w:t>Se realizó el levantamiento técnico del flujo operativo del proyecto Vida Saludable tomando como referencia principal el repositorio auxiliar incorporado al workspace. Las actividades incluyeron:</w:t>
      </w:r>
    </w:p>
    <w:p w14:paraId="16962171" w14:textId="77777777" w:rsidR="006566BD" w:rsidRDefault="006566BD" w:rsidP="006566BD">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esquema de base de datos PostgreSQL y de su DDL principal.</w:t>
      </w:r>
    </w:p>
    <w:p w14:paraId="188D98DC" w14:textId="77777777" w:rsidR="006566BD" w:rsidRDefault="006566BD" w:rsidP="006566BD">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Análisis del orquestador de lotes y de los scripts de ejecución, reproceso y continuación.</w:t>
      </w:r>
    </w:p>
    <w:p w14:paraId="0B2DFB3A" w14:textId="77777777" w:rsidR="006566BD" w:rsidRDefault="006566BD" w:rsidP="006566BD">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Revisión de las consultas de extracción por entidad y ciclo escolar, incluyendo el enriquecimiento con </w:t>
      </w:r>
      <w:r>
        <w:rPr>
          <w:rStyle w:val="CdigoHTML"/>
        </w:rPr>
        <w:t>catalogo_cct</w:t>
      </w:r>
      <w:r>
        <w:rPr>
          <w:rFonts w:ascii="Calibri" w:eastAsia="Times New Roman" w:hAnsi="Calibri" w:cs="Calibri"/>
        </w:rPr>
        <w:t>.</w:t>
      </w:r>
    </w:p>
    <w:p w14:paraId="7E0BA899" w14:textId="77777777" w:rsidR="006566BD" w:rsidRDefault="006566BD" w:rsidP="006566BD">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flujo de descarga de archivos PDF y de la estructura de salida por estado, CCT y ciclo escolar.</w:t>
      </w:r>
    </w:p>
    <w:p w14:paraId="204FEF31" w14:textId="77777777" w:rsidR="006566BD" w:rsidRDefault="006566BD" w:rsidP="006566BD">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etapas para preparación de insumos, validación, registro en BD, descarga de informes IMSS, etapa posterior de cartas y trazabilidad operativa.</w:t>
      </w:r>
    </w:p>
    <w:p w14:paraId="3597FD26" w14:textId="77777777" w:rsidR="006566BD" w:rsidRDefault="006566BD">
      <w:pPr>
        <w:pStyle w:val="NormalWeb"/>
        <w:rPr>
          <w:rFonts w:ascii="Calibri" w:hAnsi="Calibri" w:cs="Calibri"/>
          <w:sz w:val="22"/>
          <w:szCs w:val="22"/>
        </w:rPr>
      </w:pPr>
      <w:r>
        <w:rPr>
          <w:rFonts w:ascii="Calibri" w:hAnsi="Calibri" w:cs="Calibri"/>
          <w:sz w:val="22"/>
          <w:szCs w:val="22"/>
        </w:rPr>
        <w:t xml:space="preserve">Como hallazgo central, abril permitió establecer que el flujo actualmente verificable es un proceso por lotes con soporte de concurrencia y control de estado, más que una secuencia documental aislada. El lote se registra con identificador único, se evita duplicidad de ejecución activa, se procesan CURP en paralelo mediante </w:t>
      </w:r>
      <w:r>
        <w:rPr>
          <w:rStyle w:val="CdigoHTML"/>
        </w:rPr>
        <w:t>ThreadPoolExecutor</w:t>
      </w:r>
      <w:r>
        <w:rPr>
          <w:rFonts w:ascii="Calibri" w:hAnsi="Calibri" w:cs="Calibri"/>
          <w:sz w:val="22"/>
          <w:szCs w:val="22"/>
        </w:rPr>
        <w:t xml:space="preserve">, se realizan hasta tres intentos de consulta por registro y se persiste tanto el resultado final como el mensaje técnico asociado. También se identificó que la carpeta </w:t>
      </w:r>
      <w:r>
        <w:rPr>
          <w:rStyle w:val="CdigoHTML"/>
        </w:rPr>
        <w:t>sin-carta</w:t>
      </w:r>
      <w:r>
        <w:rPr>
          <w:rFonts w:ascii="Calibri" w:hAnsi="Calibri" w:cs="Calibri"/>
          <w:sz w:val="22"/>
          <w:szCs w:val="22"/>
        </w:rPr>
        <w:t xml:space="preserve"> refleja una etapa posterior aún no cerrada funcionalmente dentro de la evidencia revisada.</w:t>
      </w:r>
    </w:p>
    <w:p w14:paraId="22D7662F" w14:textId="77777777" w:rsidR="006566BD" w:rsidRDefault="006566BD">
      <w:pPr>
        <w:pStyle w:val="Ttulo3"/>
        <w:rPr>
          <w:rFonts w:ascii="Calibri" w:eastAsia="Times New Roman" w:hAnsi="Calibri" w:cs="Calibri"/>
        </w:rPr>
      </w:pPr>
      <w:r>
        <w:rPr>
          <w:rFonts w:ascii="Calibri" w:eastAsia="Times New Roman" w:hAnsi="Calibri" w:cs="Calibri"/>
        </w:rPr>
        <w:t>2.2 Análisis de rendimiento de bases de datos</w:t>
      </w:r>
    </w:p>
    <w:p w14:paraId="3C77E893" w14:textId="77777777" w:rsidR="006566BD" w:rsidRDefault="006566BD">
      <w:pPr>
        <w:pStyle w:val="NormalWeb"/>
        <w:rPr>
          <w:rFonts w:ascii="Calibri" w:hAnsi="Calibri" w:cs="Calibri"/>
          <w:sz w:val="22"/>
          <w:szCs w:val="22"/>
        </w:rPr>
      </w:pPr>
      <w:r>
        <w:rPr>
          <w:rFonts w:ascii="Calibri" w:hAnsi="Calibri" w:cs="Calibri"/>
          <w:sz w:val="22"/>
          <w:szCs w:val="22"/>
        </w:rPr>
        <w:t>Se inició la línea base para optimización de rendimiento considerando el comportamiento esperado del proceso Vida Saludable y sus dependencias de persistencia. Las acciones principales fueron:</w:t>
      </w:r>
    </w:p>
    <w:p w14:paraId="5F221E86" w14:textId="77777777" w:rsidR="006566BD" w:rsidRDefault="006566BD" w:rsidP="006566BD">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tablas e índices definidos en la base de datos principal.</w:t>
      </w:r>
    </w:p>
    <w:p w14:paraId="3AF9F3B1" w14:textId="77777777" w:rsidR="006566BD" w:rsidRDefault="006566BD" w:rsidP="006566BD">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operaciones críticas asociadas a registro de lotes, seguimiento de ejecuciones y reprocesos.</w:t>
      </w:r>
    </w:p>
    <w:p w14:paraId="22068E31" w14:textId="77777777" w:rsidR="006566BD" w:rsidRDefault="006566BD" w:rsidP="006566BD">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criterios para medir tiempos antes y después de ajustes.</w:t>
      </w:r>
    </w:p>
    <w:p w14:paraId="7089ACD0" w14:textId="77777777" w:rsidR="006566BD" w:rsidRDefault="006566BD" w:rsidP="006566BD">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Preparación de una matriz de hallazgos para consultas, índices y parametrización.</w:t>
      </w:r>
    </w:p>
    <w:p w14:paraId="6CB79E8C" w14:textId="77777777" w:rsidR="006566BD" w:rsidRDefault="006566BD">
      <w:pPr>
        <w:pStyle w:val="NormalWeb"/>
        <w:rPr>
          <w:rFonts w:ascii="Calibri" w:hAnsi="Calibri" w:cs="Calibri"/>
          <w:sz w:val="22"/>
          <w:szCs w:val="22"/>
        </w:rPr>
      </w:pPr>
      <w:r>
        <w:rPr>
          <w:rFonts w:ascii="Calibri" w:hAnsi="Calibri" w:cs="Calibri"/>
          <w:sz w:val="22"/>
          <w:szCs w:val="22"/>
        </w:rPr>
        <w:t xml:space="preserve">Durante abril se identificó que los puntos más sensibles no se concentran en una sola consulta, sino en el conjunto de operaciones que sostienen el pipeline: extracción desde </w:t>
      </w:r>
      <w:r>
        <w:rPr>
          <w:rStyle w:val="CdigoHTML"/>
        </w:rPr>
        <w:t>menor_evaluado</w:t>
      </w:r>
      <w:r>
        <w:rPr>
          <w:rFonts w:ascii="Calibri" w:hAnsi="Calibri" w:cs="Calibri"/>
          <w:sz w:val="22"/>
          <w:szCs w:val="22"/>
        </w:rPr>
        <w:t xml:space="preserve"> con </w:t>
      </w:r>
      <w:r>
        <w:rPr>
          <w:rStyle w:val="CdigoHTML"/>
        </w:rPr>
        <w:t>JOIN</w:t>
      </w:r>
      <w:r>
        <w:rPr>
          <w:rFonts w:ascii="Calibri" w:hAnsi="Calibri" w:cs="Calibri"/>
          <w:sz w:val="22"/>
          <w:szCs w:val="22"/>
        </w:rPr>
        <w:t xml:space="preserve"> a </w:t>
      </w:r>
      <w:r>
        <w:rPr>
          <w:rStyle w:val="CdigoHTML"/>
        </w:rPr>
        <w:t>catalogo_cct</w:t>
      </w:r>
      <w:r>
        <w:rPr>
          <w:rFonts w:ascii="Calibri" w:hAnsi="Calibri" w:cs="Calibri"/>
          <w:sz w:val="22"/>
          <w:szCs w:val="22"/>
        </w:rPr>
        <w:t xml:space="preserve">, selección de fallidos para reproceso, recuperación de pendientes por lote y escrituras concurrentes sobre </w:t>
      </w:r>
      <w:r>
        <w:rPr>
          <w:rStyle w:val="CdigoHTML"/>
        </w:rPr>
        <w:t>CurpProcesada</w:t>
      </w:r>
      <w:r>
        <w:rPr>
          <w:rFonts w:ascii="Calibri" w:hAnsi="Calibri" w:cs="Calibri"/>
          <w:sz w:val="22"/>
          <w:szCs w:val="22"/>
        </w:rPr>
        <w:t xml:space="preserve"> y </w:t>
      </w:r>
      <w:r>
        <w:rPr>
          <w:rStyle w:val="CdigoHTML"/>
        </w:rPr>
        <w:t>BitacoraEvento</w:t>
      </w:r>
      <w:r>
        <w:rPr>
          <w:rFonts w:ascii="Calibri" w:hAnsi="Calibri" w:cs="Calibri"/>
          <w:sz w:val="22"/>
          <w:szCs w:val="22"/>
        </w:rPr>
        <w:t xml:space="preserve">. También quedaron delimitados como candidatos de análisis los índices sobre nombre y estado de ejecución de lotes, los accesos por </w:t>
      </w:r>
      <w:r>
        <w:rPr>
          <w:rStyle w:val="CdigoHTML"/>
        </w:rPr>
        <w:t>id_lote</w:t>
      </w:r>
      <w:r>
        <w:rPr>
          <w:rFonts w:ascii="Calibri" w:hAnsi="Calibri" w:cs="Calibri"/>
          <w:sz w:val="22"/>
          <w:szCs w:val="22"/>
        </w:rPr>
        <w:t xml:space="preserve"> y </w:t>
      </w:r>
      <w:r>
        <w:rPr>
          <w:rStyle w:val="CdigoHTML"/>
        </w:rPr>
        <w:t>curp</w:t>
      </w:r>
      <w:r>
        <w:rPr>
          <w:rFonts w:ascii="Calibri" w:hAnsi="Calibri" w:cs="Calibri"/>
          <w:sz w:val="22"/>
          <w:szCs w:val="22"/>
        </w:rPr>
        <w:t>, y la explotación futura de vistas de indicadores e históricos.</w:t>
      </w:r>
    </w:p>
    <w:tbl>
      <w:tblPr>
        <w:tblW w:w="5000" w:type="pct"/>
        <w:tblCellMar>
          <w:top w:w="15" w:type="dxa"/>
          <w:left w:w="15" w:type="dxa"/>
          <w:bottom w:w="15" w:type="dxa"/>
          <w:right w:w="15" w:type="dxa"/>
        </w:tblCellMar>
        <w:tblLook w:val="04A0" w:firstRow="1" w:lastRow="0" w:firstColumn="1" w:lastColumn="0" w:noHBand="0" w:noVBand="1"/>
      </w:tblPr>
      <w:tblGrid>
        <w:gridCol w:w="2516"/>
        <w:gridCol w:w="3334"/>
        <w:gridCol w:w="3494"/>
      </w:tblGrid>
      <w:tr w:rsidR="006566BD" w14:paraId="40431138"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4A4BC8"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Componente analizado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4A194A"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Observación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B8F95C"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Acción siguiente</w:t>
            </w:r>
          </w:p>
        </w:tc>
      </w:tr>
      <w:tr w:rsidR="006566BD" w14:paraId="18AEFDB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F8602B" w14:textId="77777777" w:rsidR="006566BD" w:rsidRDefault="006566BD">
            <w:pPr>
              <w:spacing w:before="180" w:after="180"/>
              <w:rPr>
                <w:rFonts w:ascii="Calibri" w:eastAsia="Times New Roman" w:hAnsi="Calibri" w:cs="Calibri"/>
              </w:rPr>
            </w:pPr>
            <w:r>
              <w:rPr>
                <w:rFonts w:ascii="Calibri" w:eastAsia="Times New Roman" w:hAnsi="Calibri" w:cs="Calibri"/>
              </w:rPr>
              <w:t>Registro de lotes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8E2EC2" w14:textId="77777777" w:rsidR="006566BD" w:rsidRDefault="006566BD">
            <w:pPr>
              <w:spacing w:before="180" w:after="180"/>
              <w:rPr>
                <w:rFonts w:ascii="Calibri" w:eastAsia="Times New Roman" w:hAnsi="Calibri" w:cs="Calibri"/>
              </w:rPr>
            </w:pPr>
            <w:r>
              <w:rPr>
                <w:rFonts w:ascii="Calibri" w:eastAsia="Times New Roman" w:hAnsi="Calibri" w:cs="Calibri"/>
              </w:rPr>
              <w:t>Punto crítico para trazabilidad operativa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A499D9" w14:textId="77777777" w:rsidR="006566BD" w:rsidRDefault="006566BD">
            <w:pPr>
              <w:spacing w:before="180" w:after="180"/>
              <w:rPr>
                <w:rFonts w:ascii="Calibri" w:eastAsia="Times New Roman" w:hAnsi="Calibri" w:cs="Calibri"/>
              </w:rPr>
            </w:pPr>
            <w:r>
              <w:rPr>
                <w:rFonts w:ascii="Calibri" w:eastAsia="Times New Roman" w:hAnsi="Calibri" w:cs="Calibri"/>
              </w:rPr>
              <w:t>Medir tiempos por inserción y consulta</w:t>
            </w:r>
          </w:p>
        </w:tc>
      </w:tr>
      <w:tr w:rsidR="006566BD" w14:paraId="12307DC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480DE8" w14:textId="77777777" w:rsidR="006566BD" w:rsidRDefault="006566BD">
            <w:pPr>
              <w:spacing w:before="180" w:after="180"/>
              <w:rPr>
                <w:rFonts w:ascii="Calibri" w:eastAsia="Times New Roman" w:hAnsi="Calibri" w:cs="Calibri"/>
              </w:rPr>
            </w:pPr>
            <w:r>
              <w:rPr>
                <w:rFonts w:ascii="Calibri" w:eastAsia="Times New Roman" w:hAnsi="Calibri" w:cs="Calibri"/>
              </w:rPr>
              <w:t>Seguimiento de CURP procesadas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4A2824" w14:textId="77777777" w:rsidR="006566BD" w:rsidRDefault="006566BD">
            <w:pPr>
              <w:spacing w:before="180" w:after="180"/>
              <w:rPr>
                <w:rFonts w:ascii="Calibri" w:eastAsia="Times New Roman" w:hAnsi="Calibri" w:cs="Calibri"/>
              </w:rPr>
            </w:pPr>
            <w:r>
              <w:rPr>
                <w:rFonts w:ascii="Calibri" w:eastAsia="Times New Roman" w:hAnsi="Calibri" w:cs="Calibri"/>
              </w:rPr>
              <w:t>Requiere acceso eficiente a estados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F2C306" w14:textId="77777777" w:rsidR="006566BD" w:rsidRDefault="006566BD">
            <w:pPr>
              <w:spacing w:before="180" w:after="180"/>
              <w:rPr>
                <w:rFonts w:ascii="Calibri" w:eastAsia="Times New Roman" w:hAnsi="Calibri" w:cs="Calibri"/>
              </w:rPr>
            </w:pPr>
            <w:r>
              <w:rPr>
                <w:rFonts w:ascii="Calibri" w:eastAsia="Times New Roman" w:hAnsi="Calibri" w:cs="Calibri"/>
              </w:rPr>
              <w:t>Revisar índices y filtros de estado</w:t>
            </w:r>
          </w:p>
        </w:tc>
      </w:tr>
      <w:tr w:rsidR="006566BD" w14:paraId="2827196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55B812" w14:textId="77777777" w:rsidR="006566BD" w:rsidRDefault="006566BD">
            <w:pPr>
              <w:spacing w:before="180" w:after="180"/>
              <w:rPr>
                <w:rFonts w:ascii="Calibri" w:eastAsia="Times New Roman" w:hAnsi="Calibri" w:cs="Calibri"/>
              </w:rPr>
            </w:pPr>
            <w:r>
              <w:rPr>
                <w:rFonts w:ascii="Calibri" w:eastAsia="Times New Roman" w:hAnsi="Calibri" w:cs="Calibri"/>
              </w:rPr>
              <w:t>Salidas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8836BA6" w14:textId="77777777" w:rsidR="006566BD" w:rsidRDefault="006566BD">
            <w:pPr>
              <w:spacing w:before="180" w:after="180"/>
              <w:rPr>
                <w:rFonts w:ascii="Calibri" w:eastAsia="Times New Roman" w:hAnsi="Calibri" w:cs="Calibri"/>
              </w:rPr>
            </w:pPr>
            <w:r>
              <w:rPr>
                <w:rFonts w:ascii="Calibri" w:eastAsia="Times New Roman" w:hAnsi="Calibri" w:cs="Calibri"/>
              </w:rPr>
              <w:t>Puede crecer en volumen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C5825F" w14:textId="77777777" w:rsidR="006566BD" w:rsidRDefault="006566BD">
            <w:pPr>
              <w:spacing w:before="180" w:after="180"/>
              <w:rPr>
                <w:rFonts w:ascii="Calibri" w:eastAsia="Times New Roman" w:hAnsi="Calibri" w:cs="Calibri"/>
              </w:rPr>
            </w:pPr>
            <w:r>
              <w:rPr>
                <w:rFonts w:ascii="Calibri" w:eastAsia="Times New Roman" w:hAnsi="Calibri" w:cs="Calibri"/>
              </w:rPr>
              <w:t>Validar estrategia de almacenamiento y consulta</w:t>
            </w:r>
          </w:p>
        </w:tc>
      </w:tr>
      <w:tr w:rsidR="006566BD" w14:paraId="677874B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075D29" w14:textId="77777777" w:rsidR="006566BD" w:rsidRDefault="006566BD">
            <w:pPr>
              <w:spacing w:before="180" w:after="180"/>
              <w:rPr>
                <w:rFonts w:ascii="Calibri" w:eastAsia="Times New Roman" w:hAnsi="Calibri" w:cs="Calibri"/>
              </w:rPr>
            </w:pPr>
            <w:r>
              <w:rPr>
                <w:rFonts w:ascii="Calibri" w:eastAsia="Times New Roman" w:hAnsi="Calibri" w:cs="Calibri"/>
              </w:rPr>
              <w:t>Logs de proceso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8DE3AE" w14:textId="77777777" w:rsidR="006566BD" w:rsidRDefault="006566BD">
            <w:pPr>
              <w:spacing w:before="180" w:after="180"/>
              <w:rPr>
                <w:rFonts w:ascii="Calibri" w:eastAsia="Times New Roman" w:hAnsi="Calibri" w:cs="Calibri"/>
              </w:rPr>
            </w:pPr>
            <w:r>
              <w:rPr>
                <w:rFonts w:ascii="Calibri" w:eastAsia="Times New Roman" w:hAnsi="Calibri" w:cs="Calibri"/>
              </w:rPr>
              <w:t>Relevantes para diagnóstico de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66478BB" w14:textId="77777777" w:rsidR="006566BD" w:rsidRDefault="006566BD">
            <w:pPr>
              <w:spacing w:before="180" w:after="180"/>
              <w:rPr>
                <w:rFonts w:ascii="Calibri" w:eastAsia="Times New Roman" w:hAnsi="Calibri" w:cs="Calibri"/>
              </w:rPr>
            </w:pPr>
            <w:r>
              <w:rPr>
                <w:rFonts w:ascii="Calibri" w:eastAsia="Times New Roman" w:hAnsi="Calibri" w:cs="Calibri"/>
              </w:rPr>
              <w:t>Definir consultas de explotación y retención</w:t>
            </w:r>
          </w:p>
        </w:tc>
      </w:tr>
    </w:tbl>
    <w:p w14:paraId="1321DDE8" w14:textId="77777777" w:rsidR="006566BD" w:rsidRDefault="006566BD">
      <w:pPr>
        <w:pStyle w:val="Ttulo3"/>
        <w:rPr>
          <w:rFonts w:ascii="Calibri" w:eastAsia="Times New Roman" w:hAnsi="Calibri" w:cs="Calibri"/>
        </w:rPr>
      </w:pPr>
      <w:r>
        <w:rPr>
          <w:rFonts w:ascii="Calibri" w:eastAsia="Times New Roman" w:hAnsi="Calibri" w:cs="Calibri"/>
        </w:rPr>
        <w:t>2.3 Diseño inicial de monitoreo y alertamiento</w:t>
      </w:r>
    </w:p>
    <w:p w14:paraId="154ACFD2" w14:textId="77777777" w:rsidR="006566BD" w:rsidRDefault="006566BD">
      <w:pPr>
        <w:pStyle w:val="NormalWeb"/>
        <w:rPr>
          <w:rFonts w:ascii="Calibri" w:hAnsi="Calibri" w:cs="Calibri"/>
          <w:sz w:val="22"/>
          <w:szCs w:val="22"/>
        </w:rPr>
      </w:pPr>
      <w:r>
        <w:rPr>
          <w:rFonts w:ascii="Calibri" w:hAnsi="Calibri" w:cs="Calibri"/>
          <w:sz w:val="22"/>
          <w:szCs w:val="22"/>
        </w:rPr>
        <w:t>Se definió un esquema preliminar de observabilidad para bases de datos, APIs y pipelines, orientado a operación técnica y atención de incidentes. Las actividades incluyeron:</w:t>
      </w:r>
    </w:p>
    <w:p w14:paraId="72136A27" w14:textId="77777777" w:rsidR="006566BD" w:rsidRDefault="006566BD" w:rsidP="006566BD">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métricas clave de ejecución por lote.</w:t>
      </w:r>
    </w:p>
    <w:p w14:paraId="6DDC4337" w14:textId="77777777" w:rsidR="006566BD" w:rsidRDefault="006566BD" w:rsidP="006566BD">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inicial de umbrales para fallos, tiempos de respuesta y reprocesos.</w:t>
      </w:r>
    </w:p>
    <w:p w14:paraId="360B884C" w14:textId="77777777" w:rsidR="006566BD" w:rsidRDefault="006566BD" w:rsidP="006566BD">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logs y trazas disponibles en los scripts existentes.</w:t>
      </w:r>
    </w:p>
    <w:p w14:paraId="73789410" w14:textId="77777777" w:rsidR="006566BD" w:rsidRDefault="006566BD" w:rsidP="006566BD">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Propuesta inicial de procedimiento de atención para errores recurrentes.</w:t>
      </w:r>
    </w:p>
    <w:p w14:paraId="73D51C73" w14:textId="77777777" w:rsidR="006566BD" w:rsidRDefault="006566BD">
      <w:pPr>
        <w:pStyle w:val="NormalWeb"/>
        <w:rPr>
          <w:rFonts w:ascii="Calibri" w:hAnsi="Calibri" w:cs="Calibri"/>
          <w:sz w:val="22"/>
          <w:szCs w:val="22"/>
        </w:rPr>
      </w:pPr>
      <w:r>
        <w:rPr>
          <w:rFonts w:ascii="Calibri" w:hAnsi="Calibri" w:cs="Calibri"/>
          <w:sz w:val="22"/>
          <w:szCs w:val="22"/>
        </w:rPr>
        <w:t xml:space="preserve">La revisión permitió aterrizar el monitoreo sobre superficies realmente observables: </w:t>
      </w:r>
      <w:r>
        <w:rPr>
          <w:rStyle w:val="CdigoHTML"/>
        </w:rPr>
        <w:t>logging_utils.py</w:t>
      </w:r>
      <w:r>
        <w:rPr>
          <w:rFonts w:ascii="Calibri" w:hAnsi="Calibri" w:cs="Calibri"/>
          <w:sz w:val="22"/>
          <w:szCs w:val="22"/>
        </w:rPr>
        <w:t xml:space="preserve"> como punto de emisión estructurada de logs, </w:t>
      </w:r>
      <w:r>
        <w:rPr>
          <w:rStyle w:val="CdigoHTML"/>
        </w:rPr>
        <w:t>Lote</w:t>
      </w:r>
      <w:r>
        <w:rPr>
          <w:rFonts w:ascii="Calibri" w:hAnsi="Calibri" w:cs="Calibri"/>
          <w:sz w:val="22"/>
          <w:szCs w:val="22"/>
        </w:rPr>
        <w:t xml:space="preserve"> como unidad de control de ejecuciones, </w:t>
      </w:r>
      <w:r>
        <w:rPr>
          <w:rStyle w:val="CdigoHTML"/>
        </w:rPr>
        <w:t>CurpProcesada</w:t>
      </w:r>
      <w:r>
        <w:rPr>
          <w:rFonts w:ascii="Calibri" w:hAnsi="Calibri" w:cs="Calibri"/>
          <w:sz w:val="22"/>
          <w:szCs w:val="22"/>
        </w:rPr>
        <w:t xml:space="preserve"> como registro de éxito o fallo por CURP, </w:t>
      </w:r>
      <w:r>
        <w:rPr>
          <w:rStyle w:val="CdigoHTML"/>
        </w:rPr>
        <w:t>BitacoraEvento</w:t>
      </w:r>
      <w:r>
        <w:rPr>
          <w:rFonts w:ascii="Calibri" w:hAnsi="Calibri" w:cs="Calibri"/>
          <w:sz w:val="22"/>
          <w:szCs w:val="22"/>
        </w:rPr>
        <w:t xml:space="preserve"> como bitácora técnica y </w:t>
      </w:r>
      <w:r>
        <w:rPr>
          <w:rStyle w:val="CdigoHTML"/>
        </w:rPr>
        <w:t>OUTPUT_DIR</w:t>
      </w:r>
      <w:r>
        <w:rPr>
          <w:rFonts w:ascii="Calibri" w:hAnsi="Calibri" w:cs="Calibri"/>
          <w:sz w:val="22"/>
          <w:szCs w:val="22"/>
        </w:rPr>
        <w:t xml:space="preserve"> como evidencia física de resultados. A partir de ello se propusieron métricas y umbrales iniciales para tiempo por lote, porcentaje de fallos, tasa de éxito de PDFs, reintentos y lotes abiertos fuera del tiempo esperado.</w:t>
      </w:r>
    </w:p>
    <w:tbl>
      <w:tblPr>
        <w:tblW w:w="5000" w:type="pct"/>
        <w:tblCellMar>
          <w:top w:w="15" w:type="dxa"/>
          <w:left w:w="15" w:type="dxa"/>
          <w:bottom w:w="15" w:type="dxa"/>
          <w:right w:w="15" w:type="dxa"/>
        </w:tblCellMar>
        <w:tblLook w:val="04A0" w:firstRow="1" w:lastRow="0" w:firstColumn="1" w:lastColumn="0" w:noHBand="0" w:noVBand="1"/>
      </w:tblPr>
      <w:tblGrid>
        <w:gridCol w:w="1336"/>
        <w:gridCol w:w="2798"/>
        <w:gridCol w:w="2545"/>
        <w:gridCol w:w="2665"/>
      </w:tblGrid>
      <w:tr w:rsidR="006566BD" w14:paraId="17877BA9"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B164AF"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Categoría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D705FA0"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Métrica propuesta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112CA0"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Umbral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E9FC78"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Uso operativo</w:t>
            </w:r>
          </w:p>
        </w:tc>
      </w:tr>
      <w:tr w:rsidR="006566BD" w14:paraId="7580260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9FC3BB" w14:textId="77777777" w:rsidR="006566BD" w:rsidRDefault="006566BD">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24C5C2" w14:textId="77777777" w:rsidR="006566BD" w:rsidRDefault="006566BD">
            <w:pPr>
              <w:spacing w:before="180" w:after="180"/>
              <w:rPr>
                <w:rFonts w:ascii="Calibri" w:eastAsia="Times New Roman" w:hAnsi="Calibri" w:cs="Calibri"/>
              </w:rPr>
            </w:pPr>
            <w:r>
              <w:rPr>
                <w:rFonts w:ascii="Calibri" w:eastAsia="Times New Roman" w:hAnsi="Calibri" w:cs="Calibri"/>
              </w:rPr>
              <w:t>Tiempo total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C381BD" w14:textId="77777777" w:rsidR="006566BD" w:rsidRDefault="006566BD">
            <w:pPr>
              <w:spacing w:before="180" w:after="180"/>
              <w:rPr>
                <w:rFonts w:ascii="Calibri" w:eastAsia="Times New Roman" w:hAnsi="Calibri" w:cs="Calibri"/>
              </w:rPr>
            </w:pPr>
            <w:r>
              <w:rPr>
                <w:rFonts w:ascii="Calibri" w:eastAsia="Times New Roman" w:hAnsi="Calibri" w:cs="Calibri"/>
              </w:rPr>
              <w:t>Revisar si supera línea base definida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54F678" w14:textId="77777777" w:rsidR="006566BD" w:rsidRDefault="006566BD">
            <w:pPr>
              <w:spacing w:before="180" w:after="180"/>
              <w:rPr>
                <w:rFonts w:ascii="Calibri" w:eastAsia="Times New Roman" w:hAnsi="Calibri" w:cs="Calibri"/>
              </w:rPr>
            </w:pPr>
            <w:r>
              <w:rPr>
                <w:rFonts w:ascii="Calibri" w:eastAsia="Times New Roman" w:hAnsi="Calibri" w:cs="Calibri"/>
              </w:rPr>
              <w:t>Detectar degradación</w:t>
            </w:r>
          </w:p>
        </w:tc>
      </w:tr>
      <w:tr w:rsidR="006566BD" w14:paraId="530E9EB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3F7225" w14:textId="77777777" w:rsidR="006566BD" w:rsidRDefault="006566BD">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0AD7AD" w14:textId="77777777" w:rsidR="006566BD" w:rsidRDefault="006566BD">
            <w:pPr>
              <w:spacing w:before="180" w:after="180"/>
              <w:rPr>
                <w:rFonts w:ascii="Calibri" w:eastAsia="Times New Roman" w:hAnsi="Calibri" w:cs="Calibri"/>
              </w:rPr>
            </w:pPr>
            <w:r>
              <w:rPr>
                <w:rFonts w:ascii="Calibri" w:eastAsia="Times New Roman" w:hAnsi="Calibri" w:cs="Calibri"/>
              </w:rPr>
              <w:t>Porcentaje de CURP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00C059" w14:textId="77777777" w:rsidR="006566BD" w:rsidRDefault="006566BD">
            <w:pPr>
              <w:spacing w:before="180" w:after="180"/>
              <w:rPr>
                <w:rFonts w:ascii="Calibri" w:eastAsia="Times New Roman" w:hAnsi="Calibri" w:cs="Calibri"/>
              </w:rPr>
            </w:pPr>
            <w:r>
              <w:rPr>
                <w:rFonts w:ascii="Calibri" w:eastAsia="Times New Roman" w:hAnsi="Calibri" w:cs="Calibri"/>
              </w:rPr>
              <w:t>Mayor a 5% por corrida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DFC828" w14:textId="77777777" w:rsidR="006566BD" w:rsidRDefault="006566BD">
            <w:pPr>
              <w:spacing w:before="180" w:after="180"/>
              <w:rPr>
                <w:rFonts w:ascii="Calibri" w:eastAsia="Times New Roman" w:hAnsi="Calibri" w:cs="Calibri"/>
              </w:rPr>
            </w:pPr>
            <w:r>
              <w:rPr>
                <w:rFonts w:ascii="Calibri" w:eastAsia="Times New Roman" w:hAnsi="Calibri" w:cs="Calibri"/>
              </w:rPr>
              <w:t>Activar revisión técnica</w:t>
            </w:r>
          </w:p>
        </w:tc>
      </w:tr>
      <w:tr w:rsidR="006566BD" w14:paraId="2DF53DD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EBB9CE" w14:textId="77777777" w:rsidR="006566BD" w:rsidRDefault="006566BD">
            <w:pPr>
              <w:spacing w:before="180" w:after="180"/>
              <w:rPr>
                <w:rFonts w:ascii="Calibri" w:eastAsia="Times New Roman" w:hAnsi="Calibri" w:cs="Calibri"/>
              </w:rPr>
            </w:pPr>
            <w:r>
              <w:rPr>
                <w:rFonts w:ascii="Calibri" w:eastAsia="Times New Roman" w:hAnsi="Calibri" w:cs="Calibri"/>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44002E" w14:textId="77777777" w:rsidR="006566BD" w:rsidRDefault="006566BD">
            <w:pPr>
              <w:spacing w:before="180" w:after="180"/>
              <w:rPr>
                <w:rFonts w:ascii="Calibri" w:eastAsia="Times New Roman" w:hAnsi="Calibri" w:cs="Calibri"/>
              </w:rPr>
            </w:pPr>
            <w:r>
              <w:rPr>
                <w:rFonts w:ascii="Calibri" w:eastAsia="Times New Roman" w:hAnsi="Calibri" w:cs="Calibri"/>
              </w:rPr>
              <w:t>Tiempo de respuesta de 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C7D7BA" w14:textId="77777777" w:rsidR="006566BD" w:rsidRDefault="006566BD">
            <w:pPr>
              <w:spacing w:before="180" w:after="180"/>
              <w:rPr>
                <w:rFonts w:ascii="Calibri" w:eastAsia="Times New Roman" w:hAnsi="Calibri" w:cs="Calibri"/>
              </w:rPr>
            </w:pPr>
            <w:r>
              <w:rPr>
                <w:rFonts w:ascii="Calibri" w:eastAsia="Times New Roman" w:hAnsi="Calibri" w:cs="Calibri"/>
              </w:rPr>
              <w:t>Por definir con 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ABCD70" w14:textId="77777777" w:rsidR="006566BD" w:rsidRDefault="006566BD">
            <w:pPr>
              <w:spacing w:before="180" w:after="180"/>
              <w:rPr>
                <w:rFonts w:ascii="Calibri" w:eastAsia="Times New Roman" w:hAnsi="Calibri" w:cs="Calibri"/>
              </w:rPr>
            </w:pPr>
            <w:r>
              <w:rPr>
                <w:rFonts w:ascii="Calibri" w:eastAsia="Times New Roman" w:hAnsi="Calibri" w:cs="Calibri"/>
              </w:rPr>
              <w:t>Evaluar optimización</w:t>
            </w:r>
          </w:p>
        </w:tc>
      </w:tr>
      <w:tr w:rsidR="006566BD" w14:paraId="6D33482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452607C" w14:textId="77777777" w:rsidR="006566BD" w:rsidRDefault="006566BD">
            <w:pPr>
              <w:spacing w:before="180" w:after="180"/>
              <w:rPr>
                <w:rFonts w:ascii="Calibri" w:eastAsia="Times New Roman" w:hAnsi="Calibri" w:cs="Calibri"/>
              </w:rPr>
            </w:pPr>
            <w:r>
              <w:rPr>
                <w:rFonts w:ascii="Calibri" w:eastAsia="Times New Roman" w:hAnsi="Calibri" w:cs="Calibri"/>
              </w:rPr>
              <w:t>Descargas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4C46CB" w14:textId="77777777" w:rsidR="006566BD" w:rsidRDefault="006566BD">
            <w:pPr>
              <w:spacing w:before="180" w:after="180"/>
              <w:rPr>
                <w:rFonts w:ascii="Calibri" w:eastAsia="Times New Roman" w:hAnsi="Calibri" w:cs="Calibri"/>
              </w:rPr>
            </w:pPr>
            <w:r>
              <w:rPr>
                <w:rFonts w:ascii="Calibri" w:eastAsia="Times New Roman" w:hAnsi="Calibri" w:cs="Calibri"/>
              </w:rPr>
              <w:t>Tasa de éxito de PDFs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444BA1B" w14:textId="77777777" w:rsidR="006566BD" w:rsidRDefault="006566BD">
            <w:pPr>
              <w:spacing w:before="180" w:after="180"/>
              <w:rPr>
                <w:rFonts w:ascii="Calibri" w:eastAsia="Times New Roman" w:hAnsi="Calibri" w:cs="Calibri"/>
              </w:rPr>
            </w:pPr>
            <w:r>
              <w:rPr>
                <w:rFonts w:ascii="Calibri" w:eastAsia="Times New Roman" w:hAnsi="Calibri" w:cs="Calibri"/>
              </w:rPr>
              <w:t>Menor a 95%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BA467E9" w14:textId="77777777" w:rsidR="006566BD" w:rsidRDefault="006566BD">
            <w:pPr>
              <w:spacing w:before="180" w:after="180"/>
              <w:rPr>
                <w:rFonts w:ascii="Calibri" w:eastAsia="Times New Roman" w:hAnsi="Calibri" w:cs="Calibri"/>
              </w:rPr>
            </w:pPr>
            <w:r>
              <w:rPr>
                <w:rFonts w:ascii="Calibri" w:eastAsia="Times New Roman" w:hAnsi="Calibri" w:cs="Calibri"/>
              </w:rPr>
              <w:t>Revisar conectividad o fuente externa</w:t>
            </w:r>
          </w:p>
        </w:tc>
      </w:tr>
      <w:tr w:rsidR="006566BD" w14:paraId="5DA406F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3632F2B" w14:textId="77777777" w:rsidR="006566BD" w:rsidRDefault="006566BD">
            <w:pPr>
              <w:spacing w:before="180" w:after="180"/>
              <w:rPr>
                <w:rFonts w:ascii="Calibri" w:eastAsia="Times New Roman" w:hAnsi="Calibri" w:cs="Calibri"/>
              </w:rPr>
            </w:pPr>
            <w:r>
              <w:rPr>
                <w:rFonts w:ascii="Calibri" w:eastAsia="Times New Roman" w:hAnsi="Calibri" w:cs="Calibri"/>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157755" w14:textId="77777777" w:rsidR="006566BD" w:rsidRDefault="006566BD">
            <w:pPr>
              <w:spacing w:before="180" w:after="180"/>
              <w:rPr>
                <w:rFonts w:ascii="Calibri" w:eastAsia="Times New Roman" w:hAnsi="Calibri" w:cs="Calibri"/>
              </w:rPr>
            </w:pPr>
            <w:r>
              <w:rPr>
                <w:rFonts w:ascii="Calibri" w:eastAsia="Times New Roman" w:hAnsi="Calibri" w:cs="Calibri"/>
              </w:rPr>
              <w:t>Volumen de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8FFB9B" w14:textId="77777777" w:rsidR="006566BD" w:rsidRDefault="006566BD">
            <w:pPr>
              <w:spacing w:before="180" w:after="180"/>
              <w:rPr>
                <w:rFonts w:ascii="Calibri" w:eastAsia="Times New Roman" w:hAnsi="Calibri" w:cs="Calibri"/>
              </w:rPr>
            </w:pPr>
            <w:r>
              <w:rPr>
                <w:rFonts w:ascii="Calibri" w:eastAsia="Times New Roman" w:hAnsi="Calibri" w:cs="Calibri"/>
              </w:rPr>
              <w:t>Crecimiento sostenido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B42960" w14:textId="77777777" w:rsidR="006566BD" w:rsidRDefault="006566BD">
            <w:pPr>
              <w:spacing w:before="180" w:after="180"/>
              <w:rPr>
                <w:rFonts w:ascii="Calibri" w:eastAsia="Times New Roman" w:hAnsi="Calibri" w:cs="Calibri"/>
              </w:rPr>
            </w:pPr>
            <w:r>
              <w:rPr>
                <w:rFonts w:ascii="Calibri" w:eastAsia="Times New Roman" w:hAnsi="Calibri" w:cs="Calibri"/>
              </w:rPr>
              <w:t>Analizar causa raíz</w:t>
            </w:r>
          </w:p>
        </w:tc>
      </w:tr>
    </w:tbl>
    <w:p w14:paraId="78AC0952" w14:textId="77777777" w:rsidR="006566BD" w:rsidRDefault="006566BD">
      <w:pPr>
        <w:pStyle w:val="Ttulo3"/>
        <w:rPr>
          <w:rFonts w:ascii="Calibri" w:eastAsia="Times New Roman" w:hAnsi="Calibri" w:cs="Calibri"/>
        </w:rPr>
      </w:pPr>
      <w:r>
        <w:rPr>
          <w:rFonts w:ascii="Calibri" w:eastAsia="Times New Roman" w:hAnsi="Calibri" w:cs="Calibri"/>
        </w:rPr>
        <w:t>2.4 Preparación de datos para IA</w:t>
      </w:r>
    </w:p>
    <w:p w14:paraId="7AEE7596" w14:textId="77777777" w:rsidR="006566BD" w:rsidRDefault="006566BD">
      <w:pPr>
        <w:pStyle w:val="NormalWeb"/>
        <w:rPr>
          <w:rFonts w:ascii="Calibri" w:hAnsi="Calibri" w:cs="Calibri"/>
          <w:sz w:val="22"/>
          <w:szCs w:val="22"/>
        </w:rPr>
      </w:pPr>
      <w:r>
        <w:rPr>
          <w:rFonts w:ascii="Calibri" w:hAnsi="Calibri" w:cs="Calibri"/>
          <w:sz w:val="22"/>
          <w:szCs w:val="22"/>
        </w:rPr>
        <w:t>Se establecieron criterios iniciales para preparar datasets reutilizables con fines de inteligencia artificial, sin perder trazabilidad ni controles básicos de calidad. Los avances del mes fueron:</w:t>
      </w:r>
    </w:p>
    <w:p w14:paraId="292203CA" w14:textId="77777777" w:rsidR="006566BD" w:rsidRDefault="006566BD" w:rsidP="006566BD">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entidades y atributos potenciales para conformar datasets analíticos.</w:t>
      </w:r>
    </w:p>
    <w:p w14:paraId="18F81F72" w14:textId="77777777" w:rsidR="006566BD" w:rsidRDefault="006566BD" w:rsidP="006566BD">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preliminar de criterios de completitud, consistencia y trazabilidad.</w:t>
      </w:r>
    </w:p>
    <w:p w14:paraId="01DB21B3" w14:textId="77777777" w:rsidR="006566BD" w:rsidRDefault="006566BD" w:rsidP="006566BD">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Clasificación inicial de variables útiles para análisis, priorización y apoyo a decisiones operativas.</w:t>
      </w:r>
    </w:p>
    <w:p w14:paraId="4EA875DE" w14:textId="77777777" w:rsidR="006566BD" w:rsidRDefault="006566BD" w:rsidP="006566BD">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posibles conjuntos de features derivados de trazas operativas, incidencias y resultados por lote.</w:t>
      </w:r>
    </w:p>
    <w:p w14:paraId="2FBE9513" w14:textId="77777777" w:rsidR="006566BD" w:rsidRDefault="006566BD">
      <w:pPr>
        <w:pStyle w:val="NormalWeb"/>
        <w:rPr>
          <w:rFonts w:ascii="Calibri" w:hAnsi="Calibri" w:cs="Calibri"/>
          <w:sz w:val="22"/>
          <w:szCs w:val="22"/>
        </w:rPr>
      </w:pPr>
      <w:r>
        <w:rPr>
          <w:rFonts w:ascii="Calibri" w:hAnsi="Calibri" w:cs="Calibri"/>
          <w:sz w:val="22"/>
          <w:szCs w:val="22"/>
        </w:rPr>
        <w:t>El análisis permitió aterrizar cuatro familias de datasets candidatos: operación por lote, detalle por CURP procesada, incidencias y trazas, y resultados de descarga. También se delimitaron features operativas, institucionales y derivadas de mensajes, así como criterios de gobernanza para reducir exposición de CURP, correo, teléfono, rutas de archivo y otros atributos sensibles. En abril no se implementaron embeddings, pero sí quedó definido que su uso solo tendría sentido sobre texto operativo y bajo un caso de uso explícito.</w:t>
      </w:r>
    </w:p>
    <w:p w14:paraId="3D69D910" w14:textId="77777777" w:rsidR="006566BD" w:rsidRDefault="006566BD">
      <w:pPr>
        <w:pStyle w:val="Ttulo3"/>
        <w:rPr>
          <w:rFonts w:ascii="Calibri" w:eastAsia="Times New Roman" w:hAnsi="Calibri" w:cs="Calibri"/>
        </w:rPr>
      </w:pPr>
      <w:r>
        <w:rPr>
          <w:rFonts w:ascii="Calibri" w:eastAsia="Times New Roman" w:hAnsi="Calibri" w:cs="Calibri"/>
        </w:rPr>
        <w:t>2.5 Procesos de ingesta y transformación ETL/ELT</w:t>
      </w:r>
    </w:p>
    <w:p w14:paraId="20B90884" w14:textId="77777777" w:rsidR="006566BD" w:rsidRDefault="006566BD">
      <w:pPr>
        <w:pStyle w:val="NormalWeb"/>
        <w:rPr>
          <w:rFonts w:ascii="Calibri" w:hAnsi="Calibri" w:cs="Calibri"/>
          <w:sz w:val="22"/>
          <w:szCs w:val="22"/>
        </w:rPr>
      </w:pPr>
      <w:r>
        <w:rPr>
          <w:rFonts w:ascii="Calibri" w:hAnsi="Calibri" w:cs="Calibri"/>
          <w:sz w:val="22"/>
          <w:szCs w:val="22"/>
        </w:rPr>
        <w:t>Se estructuró la línea de trabajo para ingesta y transformación de archivos en múltiples formatos, alineada al nuevo contrato y al flujo operativo del proyecto. Las actividades incluyeron:</w:t>
      </w:r>
    </w:p>
    <w:p w14:paraId="7588714A" w14:textId="77777777" w:rsidR="006566BD" w:rsidRDefault="006566BD" w:rsidP="006566BD">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del flujo real de extracción, transformación y carga actualmente observable en el proyecto.</w:t>
      </w:r>
    </w:p>
    <w:p w14:paraId="0E6F0CB6" w14:textId="77777777" w:rsidR="006566BD" w:rsidRDefault="006566BD" w:rsidP="006566BD">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reglas base para formatos CSV, XLSX, JSON y XML como parte del alcance contractual.</w:t>
      </w:r>
    </w:p>
    <w:p w14:paraId="55475A16" w14:textId="77777777" w:rsidR="006566BD" w:rsidRDefault="006566BD" w:rsidP="006566BD">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puntos de depuración de datos antes y después del procesamiento.</w:t>
      </w:r>
    </w:p>
    <w:p w14:paraId="2D57F222" w14:textId="77777777" w:rsidR="006566BD" w:rsidRDefault="006566BD" w:rsidP="006566BD">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Mapeo preliminar entre insumos de origen, transformaciones y estructuras destino.</w:t>
      </w:r>
    </w:p>
    <w:p w14:paraId="21F0CAA9" w14:textId="77777777" w:rsidR="006566BD" w:rsidRDefault="006566BD">
      <w:pPr>
        <w:pStyle w:val="NormalWeb"/>
        <w:rPr>
          <w:rFonts w:ascii="Calibri" w:hAnsi="Calibri" w:cs="Calibri"/>
          <w:sz w:val="22"/>
          <w:szCs w:val="22"/>
        </w:rPr>
      </w:pPr>
      <w:r>
        <w:rPr>
          <w:rFonts w:ascii="Calibri" w:hAnsi="Calibri" w:cs="Calibri"/>
          <w:sz w:val="22"/>
          <w:szCs w:val="22"/>
        </w:rPr>
        <w:t>La principal precisión de abril fue distinguir entre el flujo ETL/ELT realmente identificado y el soporte multiformato aún no implementado. El proceso observable hoy se apoya en extracción desde PostgreSQL, transformación en memoria, integración externa con el servicio IMSS, carga en tablas operativas y escritura de PDFs, además de reproceso y reanudación. CSV, XLSX y XML quedaron como especificación contractual para etapas posteriores, mientras que JSON aparece parcialmente en las respuestas del servicio.</w:t>
      </w:r>
    </w:p>
    <w:tbl>
      <w:tblPr>
        <w:tblW w:w="5000" w:type="pct"/>
        <w:tblCellMar>
          <w:top w:w="15" w:type="dxa"/>
          <w:left w:w="15" w:type="dxa"/>
          <w:bottom w:w="15" w:type="dxa"/>
          <w:right w:w="15" w:type="dxa"/>
        </w:tblCellMar>
        <w:tblLook w:val="04A0" w:firstRow="1" w:lastRow="0" w:firstColumn="1" w:lastColumn="0" w:noHBand="0" w:noVBand="1"/>
      </w:tblPr>
      <w:tblGrid>
        <w:gridCol w:w="960"/>
        <w:gridCol w:w="5178"/>
        <w:gridCol w:w="3206"/>
      </w:tblGrid>
      <w:tr w:rsidR="006566BD" w14:paraId="662AED5B"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9B73BC"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Formato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FB3D1EF"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Uso esperado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89811B"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Validaciones iniciales</w:t>
            </w:r>
          </w:p>
        </w:tc>
      </w:tr>
      <w:tr w:rsidR="006566BD" w14:paraId="3AB9DAC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E0A257" w14:textId="77777777" w:rsidR="006566BD" w:rsidRDefault="006566BD">
            <w:pPr>
              <w:spacing w:before="180" w:after="180"/>
              <w:rPr>
                <w:rFonts w:ascii="Calibri" w:eastAsia="Times New Roman" w:hAnsi="Calibri" w:cs="Calibri"/>
              </w:rPr>
            </w:pPr>
            <w:r>
              <w:rPr>
                <w:rFonts w:ascii="Calibri" w:eastAsia="Times New Roman" w:hAnsi="Calibri" w:cs="Calibri"/>
              </w:rPr>
              <w:t>CSV</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C094C3" w14:textId="77777777" w:rsidR="006566BD" w:rsidRDefault="006566BD">
            <w:pPr>
              <w:spacing w:before="180" w:after="180"/>
              <w:rPr>
                <w:rFonts w:ascii="Calibri" w:eastAsia="Times New Roman" w:hAnsi="Calibri" w:cs="Calibri"/>
              </w:rPr>
            </w:pPr>
            <w:r>
              <w:rPr>
                <w:rFonts w:ascii="Calibri" w:eastAsia="Times New Roman" w:hAnsi="Calibri" w:cs="Calibri"/>
              </w:rPr>
              <w:t>Cargas masivas o exportaciones intermedias previstas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17B64F" w14:textId="77777777" w:rsidR="006566BD" w:rsidRDefault="006566BD">
            <w:pPr>
              <w:spacing w:before="180" w:after="180"/>
              <w:rPr>
                <w:rFonts w:ascii="Calibri" w:eastAsia="Times New Roman" w:hAnsi="Calibri" w:cs="Calibri"/>
              </w:rPr>
            </w:pPr>
            <w:r>
              <w:rPr>
                <w:rFonts w:ascii="Calibri" w:eastAsia="Times New Roman" w:hAnsi="Calibri" w:cs="Calibri"/>
              </w:rPr>
              <w:t>Orden de columnas, encabezados, CURP, CCT</w:t>
            </w:r>
          </w:p>
        </w:tc>
      </w:tr>
      <w:tr w:rsidR="006566BD" w14:paraId="12C8948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09E0BA" w14:textId="77777777" w:rsidR="006566BD" w:rsidRDefault="006566BD">
            <w:pPr>
              <w:spacing w:before="180" w:after="180"/>
              <w:rPr>
                <w:rFonts w:ascii="Calibri" w:eastAsia="Times New Roman" w:hAnsi="Calibri" w:cs="Calibri"/>
              </w:rPr>
            </w:pPr>
            <w:r>
              <w:rPr>
                <w:rFonts w:ascii="Calibri" w:eastAsia="Times New Roman" w:hAnsi="Calibri" w:cs="Calibri"/>
              </w:rPr>
              <w:t>XLSX</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FF0568" w14:textId="77777777" w:rsidR="006566BD" w:rsidRDefault="006566BD">
            <w:pPr>
              <w:spacing w:before="180" w:after="180"/>
              <w:rPr>
                <w:rFonts w:ascii="Calibri" w:eastAsia="Times New Roman" w:hAnsi="Calibri" w:cs="Calibri"/>
              </w:rPr>
            </w:pPr>
            <w:r>
              <w:rPr>
                <w:rFonts w:ascii="Calibri" w:eastAsia="Times New Roman" w:hAnsi="Calibri" w:cs="Calibri"/>
              </w:rPr>
              <w:t>Insumos administrativos o consolidados previstos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7F2558" w14:textId="77777777" w:rsidR="006566BD" w:rsidRDefault="006566BD">
            <w:pPr>
              <w:spacing w:before="180" w:after="180"/>
              <w:rPr>
                <w:rFonts w:ascii="Calibri" w:eastAsia="Times New Roman" w:hAnsi="Calibri" w:cs="Calibri"/>
              </w:rPr>
            </w:pPr>
            <w:r>
              <w:rPr>
                <w:rFonts w:ascii="Calibri" w:eastAsia="Times New Roman" w:hAnsi="Calibri" w:cs="Calibri"/>
              </w:rPr>
              <w:t>Hojas válidas, tipos de dato, celdas vacías</w:t>
            </w:r>
          </w:p>
        </w:tc>
      </w:tr>
      <w:tr w:rsidR="006566BD" w14:paraId="30E30AA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3F61CAA" w14:textId="77777777" w:rsidR="006566BD" w:rsidRDefault="006566BD">
            <w:pPr>
              <w:spacing w:before="180" w:after="180"/>
              <w:rPr>
                <w:rFonts w:ascii="Calibri" w:eastAsia="Times New Roman" w:hAnsi="Calibri" w:cs="Calibri"/>
              </w:rPr>
            </w:pPr>
            <w:r>
              <w:rPr>
                <w:rFonts w:ascii="Calibri" w:eastAsia="Times New Roman" w:hAnsi="Calibri" w:cs="Calibri"/>
              </w:rPr>
              <w:t>JSON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B66CA5" w14:textId="77777777" w:rsidR="006566BD" w:rsidRDefault="006566BD">
            <w:pPr>
              <w:spacing w:before="180" w:after="180"/>
              <w:rPr>
                <w:rFonts w:ascii="Calibri" w:eastAsia="Times New Roman" w:hAnsi="Calibri" w:cs="Calibri"/>
              </w:rPr>
            </w:pPr>
            <w:r>
              <w:rPr>
                <w:rFonts w:ascii="Calibri" w:eastAsia="Times New Roman" w:hAnsi="Calibri" w:cs="Calibri"/>
              </w:rPr>
              <w:t>Intercambio entre servicios o evidencia estructurada, con uso parcial observado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872A2FA" w14:textId="77777777" w:rsidR="006566BD" w:rsidRDefault="006566BD">
            <w:pPr>
              <w:spacing w:before="180" w:after="180"/>
              <w:rPr>
                <w:rFonts w:ascii="Calibri" w:eastAsia="Times New Roman" w:hAnsi="Calibri" w:cs="Calibri"/>
              </w:rPr>
            </w:pPr>
            <w:r>
              <w:rPr>
                <w:rFonts w:ascii="Calibri" w:eastAsia="Times New Roman" w:hAnsi="Calibri" w:cs="Calibri"/>
              </w:rPr>
              <w:t>Esquema, claves obligatorias, codificación</w:t>
            </w:r>
          </w:p>
        </w:tc>
      </w:tr>
      <w:tr w:rsidR="006566BD" w14:paraId="634CE71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1CFE4B" w14:textId="77777777" w:rsidR="006566BD" w:rsidRDefault="006566BD">
            <w:pPr>
              <w:spacing w:before="180" w:after="180"/>
              <w:rPr>
                <w:rFonts w:ascii="Calibri" w:eastAsia="Times New Roman" w:hAnsi="Calibri" w:cs="Calibri"/>
              </w:rPr>
            </w:pPr>
            <w:r>
              <w:rPr>
                <w:rFonts w:ascii="Calibri" w:eastAsia="Times New Roman" w:hAnsi="Calibri" w:cs="Calibri"/>
              </w:rPr>
              <w:t>XML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543141" w14:textId="77777777" w:rsidR="006566BD" w:rsidRDefault="006566BD">
            <w:pPr>
              <w:spacing w:before="180" w:after="180"/>
              <w:rPr>
                <w:rFonts w:ascii="Calibri" w:eastAsia="Times New Roman" w:hAnsi="Calibri" w:cs="Calibri"/>
              </w:rPr>
            </w:pPr>
            <w:r>
              <w:rPr>
                <w:rFonts w:ascii="Calibri" w:eastAsia="Times New Roman" w:hAnsi="Calibri" w:cs="Calibri"/>
              </w:rPr>
              <w:t>Integración con formatos institucionales prevista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F25252" w14:textId="77777777" w:rsidR="006566BD" w:rsidRDefault="006566BD">
            <w:pPr>
              <w:spacing w:before="180" w:after="180"/>
              <w:rPr>
                <w:rFonts w:ascii="Calibri" w:eastAsia="Times New Roman" w:hAnsi="Calibri" w:cs="Calibri"/>
              </w:rPr>
            </w:pPr>
            <w:r>
              <w:rPr>
                <w:rFonts w:ascii="Calibri" w:eastAsia="Times New Roman" w:hAnsi="Calibri" w:cs="Calibri"/>
              </w:rPr>
              <w:t>Estructura, etiquetas obligatorias, consistencia</w:t>
            </w:r>
          </w:p>
        </w:tc>
      </w:tr>
    </w:tbl>
    <w:p w14:paraId="184AF66A" w14:textId="77777777" w:rsidR="006566BD" w:rsidRDefault="006566BD">
      <w:pPr>
        <w:pStyle w:val="Ttulo3"/>
        <w:rPr>
          <w:rFonts w:ascii="Calibri" w:eastAsia="Times New Roman" w:hAnsi="Calibri" w:cs="Calibri"/>
        </w:rPr>
      </w:pPr>
      <w:r>
        <w:rPr>
          <w:rFonts w:ascii="Calibri" w:eastAsia="Times New Roman" w:hAnsi="Calibri" w:cs="Calibri"/>
        </w:rPr>
        <w:t>2.6 Documentación generada durante abril</w:t>
      </w:r>
    </w:p>
    <w:p w14:paraId="0EDC00CD" w14:textId="77777777" w:rsidR="006566BD" w:rsidRDefault="006566BD">
      <w:pPr>
        <w:pStyle w:val="NormalWeb"/>
        <w:rPr>
          <w:rFonts w:ascii="Calibri" w:hAnsi="Calibri" w:cs="Calibri"/>
          <w:sz w:val="22"/>
          <w:szCs w:val="22"/>
        </w:rPr>
      </w:pPr>
      <w:r>
        <w:rPr>
          <w:rFonts w:ascii="Calibri" w:hAnsi="Calibri" w:cs="Calibri"/>
          <w:sz w:val="22"/>
          <w:szCs w:val="22"/>
        </w:rPr>
        <w:t>Durante el mes se dejó preparada la base documental para el seguimiento del nuevo contrato:</w:t>
      </w:r>
    </w:p>
    <w:p w14:paraId="2917661B" w14:textId="77777777" w:rsidR="006566BD" w:rsidRDefault="006566BD" w:rsidP="006566BD">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Marco operativo del contrato abril-junio 2026.</w:t>
      </w:r>
    </w:p>
    <w:p w14:paraId="01B4E50A" w14:textId="77777777" w:rsidR="006566BD" w:rsidRDefault="006566BD" w:rsidP="006566BD">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Informe mensual general de abril.</w:t>
      </w:r>
    </w:p>
    <w:p w14:paraId="13C37233" w14:textId="77777777" w:rsidR="006566BD" w:rsidRDefault="006566BD" w:rsidP="006566BD">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Cinco entregables técnicos mensuales alineados con las líneas de trabajo del contrato.</w:t>
      </w:r>
    </w:p>
    <w:p w14:paraId="4C00BF88" w14:textId="77777777" w:rsidR="006566BD" w:rsidRDefault="006566BD" w:rsidP="006566BD">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Matrices iniciales de actividades, entregables y evidencias.</w:t>
      </w:r>
    </w:p>
    <w:p w14:paraId="53C0AD4E" w14:textId="77777777" w:rsidR="006566BD" w:rsidRDefault="006566BD" w:rsidP="006566BD">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categorías de métricas, logs, trazas y riesgos a documentar.</w:t>
      </w:r>
    </w:p>
    <w:p w14:paraId="21C56E91" w14:textId="77777777" w:rsidR="006566BD" w:rsidRDefault="006566BD">
      <w:pPr>
        <w:pStyle w:val="Ttulo2"/>
        <w:rPr>
          <w:rFonts w:ascii="Calibri" w:eastAsia="Times New Roman" w:hAnsi="Calibri" w:cs="Calibri"/>
        </w:rPr>
      </w:pPr>
      <w:r>
        <w:rPr>
          <w:rFonts w:ascii="Calibri" w:eastAsia="Times New Roman" w:hAnsi="Calibri" w:cs="Calibri"/>
        </w:rPr>
        <w:t>3. Entregables Generados y Evidencias</w:t>
      </w:r>
    </w:p>
    <w:p w14:paraId="2E2F735D" w14:textId="77777777" w:rsidR="006566BD" w:rsidRDefault="006566BD">
      <w:pPr>
        <w:pStyle w:val="Ttulo3"/>
        <w:rPr>
          <w:rFonts w:ascii="Calibri" w:eastAsia="Times New Roman" w:hAnsi="Calibri" w:cs="Calibri"/>
        </w:rPr>
      </w:pPr>
      <w:r>
        <w:rPr>
          <w:rFonts w:ascii="Calibri" w:eastAsia="Times New Roman" w:hAnsi="Calibri" w:cs="Calibri"/>
        </w:rPr>
        <w:t>3.1 Avance del reporte del proyecto Vida Saludable</w:t>
      </w:r>
    </w:p>
    <w:tbl>
      <w:tblPr>
        <w:tblW w:w="5000" w:type="pct"/>
        <w:tblCellMar>
          <w:top w:w="15" w:type="dxa"/>
          <w:left w:w="15" w:type="dxa"/>
          <w:bottom w:w="15" w:type="dxa"/>
          <w:right w:w="15" w:type="dxa"/>
        </w:tblCellMar>
        <w:tblLook w:val="04A0" w:firstRow="1" w:lastRow="0" w:firstColumn="1" w:lastColumn="0" w:noHBand="0" w:noVBand="1"/>
      </w:tblPr>
      <w:tblGrid>
        <w:gridCol w:w="2145"/>
        <w:gridCol w:w="1935"/>
        <w:gridCol w:w="5264"/>
      </w:tblGrid>
      <w:tr w:rsidR="006566BD" w14:paraId="683B8B7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698396"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Etapa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3E9F24E"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Estado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1014186"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Evidencia generada</w:t>
            </w:r>
          </w:p>
        </w:tc>
      </w:tr>
      <w:tr w:rsidR="006566BD" w14:paraId="5292E1E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615F1E" w14:textId="77777777" w:rsidR="006566BD" w:rsidRDefault="006566BD">
            <w:pPr>
              <w:spacing w:before="180" w:after="180"/>
              <w:rPr>
                <w:rFonts w:ascii="Calibri" w:eastAsia="Times New Roman" w:hAnsi="Calibri" w:cs="Calibri"/>
              </w:rPr>
            </w:pPr>
            <w:r>
              <w:rPr>
                <w:rFonts w:ascii="Calibri" w:eastAsia="Times New Roman" w:hAnsi="Calibri" w:cs="Calibri"/>
              </w:rPr>
              <w:t>Preparación de insumos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8ADF68" w14:textId="77777777" w:rsidR="006566BD" w:rsidRDefault="006566BD">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A98CFF" w14:textId="77777777" w:rsidR="006566BD" w:rsidRDefault="006566BD">
            <w:pPr>
              <w:spacing w:before="180" w:after="180"/>
              <w:rPr>
                <w:rFonts w:ascii="Calibri" w:eastAsia="Times New Roman" w:hAnsi="Calibri" w:cs="Calibri"/>
              </w:rPr>
            </w:pPr>
            <w:r>
              <w:rPr>
                <w:rFonts w:ascii="Calibri" w:eastAsia="Times New Roman" w:hAnsi="Calibri" w:cs="Calibri"/>
              </w:rPr>
              <w:t>Identificación de extracción desde PostgreSQL por entidad y ciclo escolar</w:t>
            </w:r>
          </w:p>
        </w:tc>
      </w:tr>
      <w:tr w:rsidR="006566BD" w14:paraId="3D15D54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F1883A" w14:textId="77777777" w:rsidR="006566BD" w:rsidRDefault="006566BD">
            <w:pPr>
              <w:spacing w:before="180" w:after="180"/>
              <w:rPr>
                <w:rFonts w:ascii="Calibri" w:eastAsia="Times New Roman" w:hAnsi="Calibri" w:cs="Calibri"/>
              </w:rPr>
            </w:pPr>
            <w:r>
              <w:rPr>
                <w:rFonts w:ascii="Calibri" w:eastAsia="Times New Roman" w:hAnsi="Calibri" w:cs="Calibri"/>
              </w:rPr>
              <w:t>Validación de información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03F815" w14:textId="77777777" w:rsidR="006566BD" w:rsidRDefault="006566BD">
            <w:pPr>
              <w:spacing w:before="180" w:after="180"/>
              <w:rPr>
                <w:rFonts w:ascii="Calibri" w:eastAsia="Times New Roman" w:hAnsi="Calibri" w:cs="Calibri"/>
              </w:rPr>
            </w:pPr>
            <w:r>
              <w:rPr>
                <w:rFonts w:ascii="Calibri" w:eastAsia="Times New Roman" w:hAnsi="Calibri" w:cs="Calibri"/>
              </w:rPr>
              <w:t>Definida a nivel técnico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B50FD65" w14:textId="77777777" w:rsidR="006566BD" w:rsidRDefault="006566BD">
            <w:pPr>
              <w:spacing w:before="180" w:after="180"/>
              <w:rPr>
                <w:rFonts w:ascii="Calibri" w:eastAsia="Times New Roman" w:hAnsi="Calibri" w:cs="Calibri"/>
              </w:rPr>
            </w:pPr>
            <w:r>
              <w:rPr>
                <w:rFonts w:ascii="Calibri" w:eastAsia="Times New Roman" w:hAnsi="Calibri" w:cs="Calibri"/>
              </w:rPr>
              <w:t>Reglas sobre consistencia entre CURP, CCT, ciclo y catálogo</w:t>
            </w:r>
          </w:p>
        </w:tc>
      </w:tr>
      <w:tr w:rsidR="006566BD" w14:paraId="6537DBA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9A3A025" w14:textId="77777777" w:rsidR="006566BD" w:rsidRDefault="006566BD">
            <w:pPr>
              <w:spacing w:before="180" w:after="180"/>
              <w:rPr>
                <w:rFonts w:ascii="Calibri" w:eastAsia="Times New Roman" w:hAnsi="Calibri" w:cs="Calibri"/>
              </w:rPr>
            </w:pPr>
            <w:r>
              <w:rPr>
                <w:rFonts w:ascii="Calibri" w:eastAsia="Times New Roman" w:hAnsi="Calibri" w:cs="Calibri"/>
              </w:rPr>
              <w:t>Registro en BD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436A61" w14:textId="77777777" w:rsidR="006566BD" w:rsidRDefault="006566BD">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54FB41" w14:textId="77777777" w:rsidR="006566BD" w:rsidRDefault="006566BD">
            <w:pPr>
              <w:spacing w:before="180" w:after="180"/>
              <w:rPr>
                <w:rFonts w:ascii="Calibri" w:eastAsia="Times New Roman" w:hAnsi="Calibri" w:cs="Calibri"/>
              </w:rPr>
            </w:pPr>
            <w:r>
              <w:rPr>
                <w:rFonts w:ascii="Calibri" w:eastAsia="Times New Roman" w:hAnsi="Calibri" w:cs="Calibri"/>
              </w:rPr>
              <w:t xml:space="preserve">Revisión de </w:t>
            </w:r>
            <w:r>
              <w:rPr>
                <w:rStyle w:val="CdigoHTML"/>
              </w:rPr>
              <w:t>Lote</w:t>
            </w:r>
            <w:r>
              <w:rPr>
                <w:rFonts w:ascii="Calibri" w:eastAsia="Times New Roman" w:hAnsi="Calibri" w:cs="Calibri"/>
              </w:rPr>
              <w:t xml:space="preserve">, </w:t>
            </w:r>
            <w:r>
              <w:rPr>
                <w:rStyle w:val="CdigoHTML"/>
              </w:rPr>
              <w:t>CurpProcesada</w:t>
            </w:r>
            <w:r>
              <w:rPr>
                <w:rFonts w:ascii="Calibri" w:eastAsia="Times New Roman" w:hAnsi="Calibri" w:cs="Calibri"/>
              </w:rPr>
              <w:t xml:space="preserve"> y </w:t>
            </w:r>
            <w:r>
              <w:rPr>
                <w:rStyle w:val="CdigoHTML"/>
              </w:rPr>
              <w:t>BitacoraEvento</w:t>
            </w:r>
          </w:p>
        </w:tc>
      </w:tr>
      <w:tr w:rsidR="006566BD" w14:paraId="700414D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F29D37" w14:textId="77777777" w:rsidR="006566BD" w:rsidRDefault="006566BD">
            <w:pPr>
              <w:spacing w:before="180" w:after="180"/>
              <w:rPr>
                <w:rFonts w:ascii="Calibri" w:eastAsia="Times New Roman" w:hAnsi="Calibri" w:cs="Calibri"/>
              </w:rPr>
            </w:pPr>
            <w:r>
              <w:rPr>
                <w:rFonts w:ascii="Calibri" w:eastAsia="Times New Roman" w:hAnsi="Calibri" w:cs="Calibri"/>
              </w:rPr>
              <w:t>Descarga de PDF 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861103" w14:textId="77777777" w:rsidR="006566BD" w:rsidRDefault="006566BD">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476541" w14:textId="77777777" w:rsidR="006566BD" w:rsidRDefault="006566BD">
            <w:pPr>
              <w:spacing w:before="180" w:after="180"/>
              <w:rPr>
                <w:rFonts w:ascii="Calibri" w:eastAsia="Times New Roman" w:hAnsi="Calibri" w:cs="Calibri"/>
              </w:rPr>
            </w:pPr>
            <w:r>
              <w:rPr>
                <w:rFonts w:ascii="Calibri" w:eastAsia="Times New Roman" w:hAnsi="Calibri" w:cs="Calibri"/>
              </w:rPr>
              <w:t>Revisión de cifrado, reintentos y rutas de salida</w:t>
            </w:r>
          </w:p>
        </w:tc>
      </w:tr>
      <w:tr w:rsidR="006566BD" w14:paraId="0CDCE60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9FD4EA" w14:textId="77777777" w:rsidR="006566BD" w:rsidRDefault="006566BD">
            <w:pPr>
              <w:spacing w:before="180" w:after="180"/>
              <w:rPr>
                <w:rFonts w:ascii="Calibri" w:eastAsia="Times New Roman" w:hAnsi="Calibri" w:cs="Calibri"/>
              </w:rPr>
            </w:pPr>
            <w:r>
              <w:rPr>
                <w:rFonts w:ascii="Calibri" w:eastAsia="Times New Roman" w:hAnsi="Calibri" w:cs="Calibri"/>
              </w:rPr>
              <w:t>Generación de cartas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B8155B" w14:textId="77777777" w:rsidR="006566BD" w:rsidRDefault="006566BD">
            <w:pPr>
              <w:spacing w:before="180" w:after="180"/>
              <w:rPr>
                <w:rFonts w:ascii="Calibri" w:eastAsia="Times New Roman" w:hAnsi="Calibri" w:cs="Calibri"/>
              </w:rPr>
            </w:pPr>
            <w:r>
              <w:rPr>
                <w:rFonts w:ascii="Calibri" w:eastAsia="Times New Roman" w:hAnsi="Calibri" w:cs="Calibri"/>
              </w:rPr>
              <w:t>Delimitada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6184A08" w14:textId="77777777" w:rsidR="006566BD" w:rsidRDefault="006566BD">
            <w:pPr>
              <w:spacing w:before="180" w:after="180"/>
              <w:rPr>
                <w:rFonts w:ascii="Calibri" w:eastAsia="Times New Roman" w:hAnsi="Calibri" w:cs="Calibri"/>
              </w:rPr>
            </w:pPr>
            <w:r>
              <w:rPr>
                <w:rFonts w:ascii="Calibri" w:eastAsia="Times New Roman" w:hAnsi="Calibri" w:cs="Calibri"/>
              </w:rPr>
              <w:t xml:space="preserve">Identificación de dependencia funcional de la etapa </w:t>
            </w:r>
            <w:r>
              <w:rPr>
                <w:rStyle w:val="CdigoHTML"/>
              </w:rPr>
              <w:t>sin-carta</w:t>
            </w:r>
          </w:p>
        </w:tc>
      </w:tr>
      <w:tr w:rsidR="006566BD" w14:paraId="23407AD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727610" w14:textId="77777777" w:rsidR="006566BD" w:rsidRDefault="006566BD">
            <w:pPr>
              <w:spacing w:before="180" w:after="180"/>
              <w:rPr>
                <w:rFonts w:ascii="Calibri" w:eastAsia="Times New Roman" w:hAnsi="Calibri" w:cs="Calibri"/>
              </w:rPr>
            </w:pPr>
            <w:r>
              <w:rPr>
                <w:rFonts w:ascii="Calibri" w:eastAsia="Times New Roman" w:hAnsi="Calibri" w:cs="Calibri"/>
              </w:rPr>
              <w:t>Métricas, logs y trazas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280885" w14:textId="77777777" w:rsidR="006566BD" w:rsidRDefault="006566BD">
            <w:pPr>
              <w:spacing w:before="180" w:after="180"/>
              <w:rPr>
                <w:rFonts w:ascii="Calibri" w:eastAsia="Times New Roman" w:hAnsi="Calibri" w:cs="Calibri"/>
              </w:rPr>
            </w:pPr>
            <w:r>
              <w:rPr>
                <w:rFonts w:ascii="Calibri" w:eastAsia="Times New Roman" w:hAnsi="Calibri" w:cs="Calibri"/>
              </w:rPr>
              <w:t>Definidas a nivel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DBC5CF" w14:textId="77777777" w:rsidR="006566BD" w:rsidRDefault="006566BD">
            <w:pPr>
              <w:spacing w:before="180" w:after="180"/>
              <w:rPr>
                <w:rFonts w:ascii="Calibri" w:eastAsia="Times New Roman" w:hAnsi="Calibri" w:cs="Calibri"/>
              </w:rPr>
            </w:pPr>
            <w:r>
              <w:rPr>
                <w:rFonts w:ascii="Calibri" w:eastAsia="Times New Roman" w:hAnsi="Calibri" w:cs="Calibri"/>
              </w:rPr>
              <w:t>Relación entre logs, eventos, estados y resultados físicos</w:t>
            </w:r>
          </w:p>
        </w:tc>
      </w:tr>
    </w:tbl>
    <w:p w14:paraId="7BB4EEC1" w14:textId="77777777" w:rsidR="006566BD" w:rsidRDefault="006566BD">
      <w:pPr>
        <w:pStyle w:val="Ttulo3"/>
        <w:rPr>
          <w:rFonts w:ascii="Calibri" w:eastAsia="Times New Roman" w:hAnsi="Calibri" w:cs="Calibri"/>
        </w:rPr>
      </w:pPr>
      <w:r>
        <w:rPr>
          <w:rFonts w:ascii="Calibri" w:eastAsia="Times New Roman" w:hAnsi="Calibri" w:cs="Calibri"/>
        </w:rPr>
        <w:t>3.2 Avance del informe de optimización de rendimiento</w:t>
      </w:r>
    </w:p>
    <w:tbl>
      <w:tblPr>
        <w:tblW w:w="5000" w:type="pct"/>
        <w:tblCellMar>
          <w:top w:w="15" w:type="dxa"/>
          <w:left w:w="15" w:type="dxa"/>
          <w:bottom w:w="15" w:type="dxa"/>
          <w:right w:w="15" w:type="dxa"/>
        </w:tblCellMar>
        <w:tblLook w:val="04A0" w:firstRow="1" w:lastRow="0" w:firstColumn="1" w:lastColumn="0" w:noHBand="0" w:noVBand="1"/>
      </w:tblPr>
      <w:tblGrid>
        <w:gridCol w:w="2455"/>
        <w:gridCol w:w="6889"/>
      </w:tblGrid>
      <w:tr w:rsidR="006566BD" w14:paraId="090F01F2"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3856D9"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Rubro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68C308"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Resultado de abril</w:t>
            </w:r>
          </w:p>
        </w:tc>
      </w:tr>
      <w:tr w:rsidR="006566BD" w14:paraId="5D80FBD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CA5418" w14:textId="77777777" w:rsidR="006566BD" w:rsidRDefault="006566BD">
            <w:pPr>
              <w:spacing w:before="180" w:after="180"/>
              <w:rPr>
                <w:rFonts w:ascii="Calibri" w:eastAsia="Times New Roman" w:hAnsi="Calibri" w:cs="Calibri"/>
              </w:rPr>
            </w:pPr>
            <w:r>
              <w:rPr>
                <w:rFonts w:ascii="Calibri" w:eastAsia="Times New Roman" w:hAnsi="Calibri" w:cs="Calibri"/>
              </w:rPr>
              <w:t>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08D285" w14:textId="77777777" w:rsidR="006566BD" w:rsidRDefault="006566BD">
            <w:pPr>
              <w:spacing w:before="180" w:after="180"/>
              <w:rPr>
                <w:rFonts w:ascii="Calibri" w:eastAsia="Times New Roman" w:hAnsi="Calibri" w:cs="Calibri"/>
              </w:rPr>
            </w:pPr>
            <w:r>
              <w:rPr>
                <w:rFonts w:ascii="Calibri" w:eastAsia="Times New Roman" w:hAnsi="Calibri" w:cs="Calibri"/>
              </w:rPr>
              <w:t>Definida de forma preliminar</w:t>
            </w:r>
          </w:p>
        </w:tc>
      </w:tr>
      <w:tr w:rsidR="006566BD" w14:paraId="000479F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49C0BE" w14:textId="77777777" w:rsidR="006566BD" w:rsidRDefault="006566BD">
            <w:pPr>
              <w:spacing w:before="180" w:after="180"/>
              <w:rPr>
                <w:rFonts w:ascii="Calibri" w:eastAsia="Times New Roman" w:hAnsi="Calibri" w:cs="Calibri"/>
              </w:rPr>
            </w:pPr>
            <w:r>
              <w:rPr>
                <w:rFonts w:ascii="Calibri" w:eastAsia="Times New Roman" w:hAnsi="Calibri" w:cs="Calibri"/>
              </w:rPr>
              <w:t>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7412DE" w14:textId="77777777" w:rsidR="006566BD" w:rsidRDefault="006566BD">
            <w:pPr>
              <w:spacing w:before="180" w:after="180"/>
              <w:rPr>
                <w:rFonts w:ascii="Calibri" w:eastAsia="Times New Roman" w:hAnsi="Calibri" w:cs="Calibri"/>
              </w:rPr>
            </w:pPr>
            <w:r>
              <w:rPr>
                <w:rFonts w:ascii="Calibri" w:eastAsia="Times New Roman" w:hAnsi="Calibri" w:cs="Calibri"/>
              </w:rPr>
              <w:t>Identificadas en extracción, reproceso, pendientes y control de lotes</w:t>
            </w:r>
          </w:p>
        </w:tc>
      </w:tr>
      <w:tr w:rsidR="006566BD" w14:paraId="3687C7A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6C78565" w14:textId="77777777" w:rsidR="006566BD" w:rsidRDefault="006566BD">
            <w:pPr>
              <w:spacing w:before="180" w:after="180"/>
              <w:rPr>
                <w:rFonts w:ascii="Calibri" w:eastAsia="Times New Roman" w:hAnsi="Calibri" w:cs="Calibri"/>
              </w:rPr>
            </w:pPr>
            <w:r>
              <w:rPr>
                <w:rFonts w:ascii="Calibri" w:eastAsia="Times New Roman" w:hAnsi="Calibri" w:cs="Calibri"/>
              </w:rPr>
              <w:t>Índices por revisar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554D6A" w14:textId="77777777" w:rsidR="006566BD" w:rsidRDefault="006566BD">
            <w:pPr>
              <w:spacing w:before="180" w:after="180"/>
              <w:rPr>
                <w:rFonts w:ascii="Calibri" w:eastAsia="Times New Roman" w:hAnsi="Calibri" w:cs="Calibri"/>
              </w:rPr>
            </w:pPr>
            <w:r>
              <w:rPr>
                <w:rFonts w:ascii="Calibri" w:eastAsia="Times New Roman" w:hAnsi="Calibri" w:cs="Calibri"/>
              </w:rPr>
              <w:t>Listados para validación técnica sobre lotes, CURP y estados de ejecución</w:t>
            </w:r>
          </w:p>
        </w:tc>
      </w:tr>
      <w:tr w:rsidR="006566BD" w14:paraId="23DF29B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024987" w14:textId="77777777" w:rsidR="006566BD" w:rsidRDefault="006566BD">
            <w:pPr>
              <w:spacing w:before="180" w:after="180"/>
              <w:rPr>
                <w:rFonts w:ascii="Calibri" w:eastAsia="Times New Roman" w:hAnsi="Calibri" w:cs="Calibri"/>
              </w:rPr>
            </w:pPr>
            <w:r>
              <w:rPr>
                <w:rFonts w:ascii="Calibri" w:eastAsia="Times New Roman" w:hAnsi="Calibri" w:cs="Calibri"/>
              </w:rPr>
              <w:t>Evidencia antes/después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CB71F1" w14:textId="77777777" w:rsidR="006566BD" w:rsidRDefault="006566BD">
            <w:pPr>
              <w:spacing w:before="180" w:after="180"/>
              <w:rPr>
                <w:rFonts w:ascii="Calibri" w:eastAsia="Times New Roman" w:hAnsi="Calibri" w:cs="Calibri"/>
              </w:rPr>
            </w:pPr>
            <w:r>
              <w:rPr>
                <w:rFonts w:ascii="Calibri" w:eastAsia="Times New Roman" w:hAnsi="Calibri" w:cs="Calibri"/>
              </w:rPr>
              <w:t>Pendiente de consolidar en mayo</w:t>
            </w:r>
          </w:p>
        </w:tc>
      </w:tr>
    </w:tbl>
    <w:p w14:paraId="434FC1AC" w14:textId="77777777" w:rsidR="006566BD" w:rsidRDefault="006566BD">
      <w:pPr>
        <w:pStyle w:val="Ttulo3"/>
        <w:rPr>
          <w:rFonts w:ascii="Calibri" w:eastAsia="Times New Roman" w:hAnsi="Calibri" w:cs="Calibri"/>
        </w:rPr>
      </w:pPr>
      <w:r>
        <w:rPr>
          <w:rFonts w:ascii="Calibri" w:eastAsia="Times New Roman" w:hAnsi="Calibri" w:cs="Calibri"/>
        </w:rPr>
        <w:t>3.3 Avance del reporte de monitoreo y alertamiento</w:t>
      </w:r>
    </w:p>
    <w:tbl>
      <w:tblPr>
        <w:tblW w:w="5000" w:type="pct"/>
        <w:tblCellMar>
          <w:top w:w="15" w:type="dxa"/>
          <w:left w:w="15" w:type="dxa"/>
          <w:bottom w:w="15" w:type="dxa"/>
          <w:right w:w="15" w:type="dxa"/>
        </w:tblCellMar>
        <w:tblLook w:val="04A0" w:firstRow="1" w:lastRow="0" w:firstColumn="1" w:lastColumn="0" w:noHBand="0" w:noVBand="1"/>
      </w:tblPr>
      <w:tblGrid>
        <w:gridCol w:w="2552"/>
        <w:gridCol w:w="6792"/>
      </w:tblGrid>
      <w:tr w:rsidR="006566BD" w14:paraId="2ADA664D"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C5B0CF"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1CE06B"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Resultado de abril</w:t>
            </w:r>
          </w:p>
        </w:tc>
      </w:tr>
      <w:tr w:rsidR="006566BD" w14:paraId="2FB65D4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937483" w14:textId="77777777" w:rsidR="006566BD" w:rsidRDefault="006566BD">
            <w:pPr>
              <w:spacing w:before="180" w:after="180"/>
              <w:rPr>
                <w:rFonts w:ascii="Calibri" w:eastAsia="Times New Roman" w:hAnsi="Calibri" w:cs="Calibri"/>
              </w:rPr>
            </w:pPr>
            <w:r>
              <w:rPr>
                <w:rFonts w:ascii="Calibri" w:eastAsia="Times New Roman" w:hAnsi="Calibri" w:cs="Calibri"/>
              </w:rPr>
              <w:t>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E98595" w14:textId="77777777" w:rsidR="006566BD" w:rsidRDefault="006566BD">
            <w:pPr>
              <w:spacing w:before="180" w:after="180"/>
              <w:rPr>
                <w:rFonts w:ascii="Calibri" w:eastAsia="Times New Roman" w:hAnsi="Calibri" w:cs="Calibri"/>
              </w:rPr>
            </w:pPr>
            <w:r>
              <w:rPr>
                <w:rFonts w:ascii="Calibri" w:eastAsia="Times New Roman" w:hAnsi="Calibri" w:cs="Calibri"/>
              </w:rPr>
              <w:t>Identificadas por lote, CURP, base de datos, descargas y reprocesos</w:t>
            </w:r>
          </w:p>
        </w:tc>
      </w:tr>
      <w:tr w:rsidR="006566BD" w14:paraId="52327B3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243BF7" w14:textId="77777777" w:rsidR="006566BD" w:rsidRDefault="006566BD">
            <w:pPr>
              <w:spacing w:before="180" w:after="180"/>
              <w:rPr>
                <w:rFonts w:ascii="Calibri" w:eastAsia="Times New Roman" w:hAnsi="Calibri" w:cs="Calibri"/>
              </w:rPr>
            </w:pPr>
            <w:r>
              <w:rPr>
                <w:rFonts w:ascii="Calibri" w:eastAsia="Times New Roman" w:hAnsi="Calibri" w:cs="Calibri"/>
              </w:rPr>
              <w:t>Umbrales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1D32CB" w14:textId="77777777" w:rsidR="006566BD" w:rsidRDefault="006566BD">
            <w:pPr>
              <w:spacing w:before="180" w:after="180"/>
              <w:rPr>
                <w:rFonts w:ascii="Calibri" w:eastAsia="Times New Roman" w:hAnsi="Calibri" w:cs="Calibri"/>
              </w:rPr>
            </w:pPr>
            <w:r>
              <w:rPr>
                <w:rFonts w:ascii="Calibri" w:eastAsia="Times New Roman" w:hAnsi="Calibri" w:cs="Calibri"/>
              </w:rPr>
              <w:t>Propuestos a nivel inicial para fallos, PDFs, reintentos y lotes abiertos</w:t>
            </w:r>
          </w:p>
        </w:tc>
      </w:tr>
      <w:tr w:rsidR="006566BD" w14:paraId="169E257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AD421E" w14:textId="77777777" w:rsidR="006566BD" w:rsidRDefault="006566BD">
            <w:pPr>
              <w:spacing w:before="180" w:after="180"/>
              <w:rPr>
                <w:rFonts w:ascii="Calibri" w:eastAsia="Times New Roman" w:hAnsi="Calibri" w:cs="Calibri"/>
              </w:rPr>
            </w:pPr>
            <w:r>
              <w:rPr>
                <w:rFonts w:ascii="Calibri" w:eastAsia="Times New Roman" w:hAnsi="Calibri" w:cs="Calibri"/>
              </w:rPr>
              <w:t>Alertas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CE7D00" w14:textId="77777777" w:rsidR="006566BD" w:rsidRDefault="006566BD">
            <w:pPr>
              <w:spacing w:before="180" w:after="180"/>
              <w:rPr>
                <w:rFonts w:ascii="Calibri" w:eastAsia="Times New Roman" w:hAnsi="Calibri" w:cs="Calibri"/>
              </w:rPr>
            </w:pPr>
            <w:r>
              <w:rPr>
                <w:rFonts w:ascii="Calibri" w:eastAsia="Times New Roman" w:hAnsi="Calibri" w:cs="Calibri"/>
              </w:rPr>
              <w:t>Pendientes de instrumentación, con niveles informativo, preventivo y crítico</w:t>
            </w:r>
          </w:p>
        </w:tc>
      </w:tr>
      <w:tr w:rsidR="006566BD" w14:paraId="09D6B25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C103679" w14:textId="77777777" w:rsidR="006566BD" w:rsidRDefault="006566BD">
            <w:pPr>
              <w:spacing w:before="180" w:after="180"/>
              <w:rPr>
                <w:rFonts w:ascii="Calibri" w:eastAsia="Times New Roman" w:hAnsi="Calibri" w:cs="Calibri"/>
              </w:rPr>
            </w:pPr>
            <w:r>
              <w:rPr>
                <w:rFonts w:ascii="Calibri" w:eastAsia="Times New Roman" w:hAnsi="Calibri" w:cs="Calibri"/>
              </w:rPr>
              <w:t>Procedimiento de atención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069D8B" w14:textId="77777777" w:rsidR="006566BD" w:rsidRDefault="006566BD">
            <w:pPr>
              <w:spacing w:before="180" w:after="180"/>
              <w:rPr>
                <w:rFonts w:ascii="Calibri" w:eastAsia="Times New Roman" w:hAnsi="Calibri" w:cs="Calibri"/>
              </w:rPr>
            </w:pPr>
            <w:r>
              <w:rPr>
                <w:rFonts w:ascii="Calibri" w:eastAsia="Times New Roman" w:hAnsi="Calibri" w:cs="Calibri"/>
              </w:rPr>
              <w:t>Borrador definido para clasificación, diagnóstico y reproceso/reanudación</w:t>
            </w:r>
          </w:p>
        </w:tc>
      </w:tr>
    </w:tbl>
    <w:p w14:paraId="0C839895" w14:textId="77777777" w:rsidR="006566BD" w:rsidRDefault="006566BD">
      <w:pPr>
        <w:pStyle w:val="Ttulo3"/>
        <w:rPr>
          <w:rFonts w:ascii="Calibri" w:eastAsia="Times New Roman" w:hAnsi="Calibri" w:cs="Calibri"/>
        </w:rPr>
      </w:pPr>
      <w:r>
        <w:rPr>
          <w:rFonts w:ascii="Calibri" w:eastAsia="Times New Roman" w:hAnsi="Calibri" w:cs="Calibri"/>
        </w:rPr>
        <w:t>3.4 Avance del reporte de preparación de datos para IA</w:t>
      </w:r>
    </w:p>
    <w:tbl>
      <w:tblPr>
        <w:tblW w:w="5000" w:type="pct"/>
        <w:tblCellMar>
          <w:top w:w="15" w:type="dxa"/>
          <w:left w:w="15" w:type="dxa"/>
          <w:bottom w:w="15" w:type="dxa"/>
          <w:right w:w="15" w:type="dxa"/>
        </w:tblCellMar>
        <w:tblLook w:val="04A0" w:firstRow="1" w:lastRow="0" w:firstColumn="1" w:lastColumn="0" w:noHBand="0" w:noVBand="1"/>
      </w:tblPr>
      <w:tblGrid>
        <w:gridCol w:w="2471"/>
        <w:gridCol w:w="6873"/>
      </w:tblGrid>
      <w:tr w:rsidR="006566BD" w14:paraId="760B382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8146B9"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D8302B3"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Resultado de abril</w:t>
            </w:r>
          </w:p>
        </w:tc>
      </w:tr>
      <w:tr w:rsidR="006566BD" w14:paraId="37095F7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7754E4" w14:textId="77777777" w:rsidR="006566BD" w:rsidRDefault="006566BD">
            <w:pPr>
              <w:spacing w:before="180" w:after="180"/>
              <w:rPr>
                <w:rFonts w:ascii="Calibri" w:eastAsia="Times New Roman" w:hAnsi="Calibri" w:cs="Calibri"/>
              </w:rPr>
            </w:pPr>
            <w:r>
              <w:rPr>
                <w:rFonts w:ascii="Calibri" w:eastAsia="Times New Roman" w:hAnsi="Calibri" w:cs="Calibri"/>
              </w:rPr>
              <w:t>Dataset candidatos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00855F" w14:textId="77777777" w:rsidR="006566BD" w:rsidRDefault="006566BD">
            <w:pPr>
              <w:spacing w:before="180" w:after="180"/>
              <w:rPr>
                <w:rFonts w:ascii="Calibri" w:eastAsia="Times New Roman" w:hAnsi="Calibri" w:cs="Calibri"/>
              </w:rPr>
            </w:pPr>
            <w:r>
              <w:rPr>
                <w:rFonts w:ascii="Calibri" w:eastAsia="Times New Roman" w:hAnsi="Calibri" w:cs="Calibri"/>
              </w:rPr>
              <w:t>Identificados por lote, CURP, incidencias y descargas</w:t>
            </w:r>
          </w:p>
        </w:tc>
      </w:tr>
      <w:tr w:rsidR="006566BD" w14:paraId="4EFBAB1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A0E6F1" w14:textId="77777777" w:rsidR="006566BD" w:rsidRDefault="006566BD">
            <w:pPr>
              <w:spacing w:before="180" w:after="180"/>
              <w:rPr>
                <w:rFonts w:ascii="Calibri" w:eastAsia="Times New Roman" w:hAnsi="Calibri" w:cs="Calibri"/>
              </w:rPr>
            </w:pPr>
            <w:r>
              <w:rPr>
                <w:rFonts w:ascii="Calibri" w:eastAsia="Times New Roman" w:hAnsi="Calibri" w:cs="Calibri"/>
              </w:rPr>
              <w:t>Features iniciales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C8B605" w14:textId="77777777" w:rsidR="006566BD" w:rsidRDefault="006566BD">
            <w:pPr>
              <w:spacing w:before="180" w:after="180"/>
              <w:rPr>
                <w:rFonts w:ascii="Calibri" w:eastAsia="Times New Roman" w:hAnsi="Calibri" w:cs="Calibri"/>
              </w:rPr>
            </w:pPr>
            <w:r>
              <w:rPr>
                <w:rFonts w:ascii="Calibri" w:eastAsia="Times New Roman" w:hAnsi="Calibri" w:cs="Calibri"/>
              </w:rPr>
              <w:t>Delimitados por familias operativas, institucionales y de trazabilidad</w:t>
            </w:r>
          </w:p>
        </w:tc>
      </w:tr>
      <w:tr w:rsidR="006566BD" w14:paraId="1DF66FD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DE8F6E" w14:textId="77777777" w:rsidR="006566BD" w:rsidRDefault="006566BD">
            <w:pPr>
              <w:spacing w:before="180" w:after="180"/>
              <w:rPr>
                <w:rFonts w:ascii="Calibri" w:eastAsia="Times New Roman" w:hAnsi="Calibri" w:cs="Calibri"/>
              </w:rPr>
            </w:pPr>
            <w:r>
              <w:rPr>
                <w:rFonts w:ascii="Calibri" w:eastAsia="Times New Roman" w:hAnsi="Calibri" w:cs="Calibri"/>
              </w:rPr>
              <w:t>Embeddings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0314A27" w14:textId="77777777" w:rsidR="006566BD" w:rsidRDefault="006566BD">
            <w:pPr>
              <w:spacing w:before="180" w:after="180"/>
              <w:rPr>
                <w:rFonts w:ascii="Calibri" w:eastAsia="Times New Roman" w:hAnsi="Calibri" w:cs="Calibri"/>
              </w:rPr>
            </w:pPr>
            <w:r>
              <w:rPr>
                <w:rFonts w:ascii="Calibri" w:eastAsia="Times New Roman" w:hAnsi="Calibri" w:cs="Calibri"/>
              </w:rPr>
              <w:t>Sujetos a evaluación por caso de uso sobre texto operativo</w:t>
            </w:r>
          </w:p>
        </w:tc>
      </w:tr>
      <w:tr w:rsidR="006566BD" w14:paraId="6C4A5DB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2C80DE" w14:textId="77777777" w:rsidR="006566BD" w:rsidRDefault="006566BD">
            <w:pPr>
              <w:spacing w:before="180" w:after="180"/>
              <w:rPr>
                <w:rFonts w:ascii="Calibri" w:eastAsia="Times New Roman" w:hAnsi="Calibri" w:cs="Calibri"/>
              </w:rPr>
            </w:pPr>
            <w:r>
              <w:rPr>
                <w:rFonts w:ascii="Calibri" w:eastAsia="Times New Roman" w:hAnsi="Calibri" w:cs="Calibri"/>
              </w:rPr>
              <w:t>Lineamientos de calidad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587341" w14:textId="77777777" w:rsidR="006566BD" w:rsidRDefault="006566BD">
            <w:pPr>
              <w:spacing w:before="180" w:after="180"/>
              <w:rPr>
                <w:rFonts w:ascii="Calibri" w:eastAsia="Times New Roman" w:hAnsi="Calibri" w:cs="Calibri"/>
              </w:rPr>
            </w:pPr>
            <w:r>
              <w:rPr>
                <w:rFonts w:ascii="Calibri" w:eastAsia="Times New Roman" w:hAnsi="Calibri" w:cs="Calibri"/>
              </w:rPr>
              <w:t>Definidos con criterios de completitud, consistencia, duplicidad y linaje</w:t>
            </w:r>
          </w:p>
        </w:tc>
      </w:tr>
    </w:tbl>
    <w:p w14:paraId="7BF99B1A" w14:textId="77777777" w:rsidR="006566BD" w:rsidRDefault="006566BD">
      <w:pPr>
        <w:pStyle w:val="Ttulo3"/>
        <w:rPr>
          <w:rFonts w:ascii="Calibri" w:eastAsia="Times New Roman" w:hAnsi="Calibri" w:cs="Calibri"/>
        </w:rPr>
      </w:pPr>
      <w:r>
        <w:rPr>
          <w:rFonts w:ascii="Calibri" w:eastAsia="Times New Roman" w:hAnsi="Calibri" w:cs="Calibri"/>
        </w:rPr>
        <w:t>3.5 Avance del informe ETL/ELT</w:t>
      </w:r>
    </w:p>
    <w:tbl>
      <w:tblPr>
        <w:tblW w:w="5000" w:type="pct"/>
        <w:tblCellMar>
          <w:top w:w="15" w:type="dxa"/>
          <w:left w:w="15" w:type="dxa"/>
          <w:bottom w:w="15" w:type="dxa"/>
          <w:right w:w="15" w:type="dxa"/>
        </w:tblCellMar>
        <w:tblLook w:val="04A0" w:firstRow="1" w:lastRow="0" w:firstColumn="1" w:lastColumn="0" w:noHBand="0" w:noVBand="1"/>
      </w:tblPr>
      <w:tblGrid>
        <w:gridCol w:w="2000"/>
        <w:gridCol w:w="7344"/>
      </w:tblGrid>
      <w:tr w:rsidR="006566BD" w14:paraId="1B468D96"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C0370C"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0C91EA" w14:textId="77777777" w:rsidR="006566BD" w:rsidRDefault="006566BD">
            <w:pPr>
              <w:spacing w:before="180" w:after="180"/>
              <w:rPr>
                <w:rFonts w:ascii="Calibri" w:eastAsia="Times New Roman" w:hAnsi="Calibri" w:cs="Calibri"/>
                <w:b/>
                <w:bCs/>
              </w:rPr>
            </w:pPr>
            <w:r>
              <w:rPr>
                <w:rFonts w:ascii="Calibri" w:eastAsia="Times New Roman" w:hAnsi="Calibri" w:cs="Calibri"/>
                <w:b/>
                <w:bCs/>
              </w:rPr>
              <w:t>Resultado de abril</w:t>
            </w:r>
          </w:p>
        </w:tc>
      </w:tr>
      <w:tr w:rsidR="006566BD" w14:paraId="1533CF1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B26338" w14:textId="77777777" w:rsidR="006566BD" w:rsidRDefault="006566BD">
            <w:pPr>
              <w:spacing w:before="180" w:after="180"/>
              <w:rPr>
                <w:rFonts w:ascii="Calibri" w:eastAsia="Times New Roman" w:hAnsi="Calibri" w:cs="Calibri"/>
              </w:rPr>
            </w:pPr>
            <w:r>
              <w:rPr>
                <w:rFonts w:ascii="Calibri" w:eastAsia="Times New Roman" w:hAnsi="Calibri" w:cs="Calibri"/>
              </w:rPr>
              <w:t>Flujo real identificado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95503B" w14:textId="77777777" w:rsidR="006566BD" w:rsidRDefault="006566BD">
            <w:pPr>
              <w:spacing w:before="180" w:after="180"/>
              <w:rPr>
                <w:rFonts w:ascii="Calibri" w:eastAsia="Times New Roman" w:hAnsi="Calibri" w:cs="Calibri"/>
              </w:rPr>
            </w:pPr>
            <w:r>
              <w:rPr>
                <w:rFonts w:ascii="Calibri" w:eastAsia="Times New Roman" w:hAnsi="Calibri" w:cs="Calibri"/>
              </w:rPr>
              <w:t>Extracción PostgreSQL, transformación operativa, integración IMSS, carga en BD y PDF</w:t>
            </w:r>
          </w:p>
        </w:tc>
      </w:tr>
      <w:tr w:rsidR="006566BD" w14:paraId="22BA575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9B544D" w14:textId="77777777" w:rsidR="006566BD" w:rsidRDefault="006566BD">
            <w:pPr>
              <w:spacing w:before="180" w:after="180"/>
              <w:rPr>
                <w:rFonts w:ascii="Calibri" w:eastAsia="Times New Roman" w:hAnsi="Calibri" w:cs="Calibri"/>
              </w:rPr>
            </w:pPr>
            <w:r>
              <w:rPr>
                <w:rFonts w:ascii="Calibri" w:eastAsia="Times New Roman" w:hAnsi="Calibri" w:cs="Calibri"/>
              </w:rPr>
              <w:t>Formatos cubiertos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FE16B9" w14:textId="77777777" w:rsidR="006566BD" w:rsidRDefault="006566BD">
            <w:pPr>
              <w:spacing w:before="180" w:after="180"/>
              <w:rPr>
                <w:rFonts w:ascii="Calibri" w:eastAsia="Times New Roman" w:hAnsi="Calibri" w:cs="Calibri"/>
              </w:rPr>
            </w:pPr>
            <w:r>
              <w:rPr>
                <w:rFonts w:ascii="Calibri" w:eastAsia="Times New Roman" w:hAnsi="Calibri" w:cs="Calibri"/>
              </w:rPr>
              <w:t>CSV, XLSX, JSON y XML como especificación contractual; JSON/PDF observados parcialmente</w:t>
            </w:r>
          </w:p>
        </w:tc>
      </w:tr>
      <w:tr w:rsidR="006566BD" w14:paraId="767E34B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B5EE9C" w14:textId="77777777" w:rsidR="006566BD" w:rsidRDefault="006566BD">
            <w:pPr>
              <w:spacing w:before="180" w:after="180"/>
              <w:rPr>
                <w:rFonts w:ascii="Calibri" w:eastAsia="Times New Roman" w:hAnsi="Calibri" w:cs="Calibri"/>
              </w:rPr>
            </w:pPr>
            <w:r>
              <w:rPr>
                <w:rFonts w:ascii="Calibri" w:eastAsia="Times New Roman" w:hAnsi="Calibri" w:cs="Calibri"/>
              </w:rPr>
              <w:t>Validaciones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8FCB7D" w14:textId="77777777" w:rsidR="006566BD" w:rsidRDefault="006566BD">
            <w:pPr>
              <w:spacing w:before="180" w:after="180"/>
              <w:rPr>
                <w:rFonts w:ascii="Calibri" w:eastAsia="Times New Roman" w:hAnsi="Calibri" w:cs="Calibri"/>
              </w:rPr>
            </w:pPr>
            <w:r>
              <w:rPr>
                <w:rFonts w:ascii="Calibri" w:eastAsia="Times New Roman" w:hAnsi="Calibri" w:cs="Calibri"/>
              </w:rPr>
              <w:t>Definidas sobre claves, filtros, integridad y consistencia con catálogos</w:t>
            </w:r>
          </w:p>
        </w:tc>
      </w:tr>
      <w:tr w:rsidR="006566BD" w14:paraId="5CB9DB5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2B8C35E" w14:textId="77777777" w:rsidR="006566BD" w:rsidRDefault="006566BD">
            <w:pPr>
              <w:spacing w:before="180" w:after="180"/>
              <w:rPr>
                <w:rFonts w:ascii="Calibri" w:eastAsia="Times New Roman" w:hAnsi="Calibri" w:cs="Calibri"/>
              </w:rPr>
            </w:pPr>
            <w:r>
              <w:rPr>
                <w:rFonts w:ascii="Calibri" w:eastAsia="Times New Roman" w:hAnsi="Calibri" w:cs="Calibri"/>
              </w:rPr>
              <w:t>Depuración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2BCF3A" w14:textId="77777777" w:rsidR="006566BD" w:rsidRDefault="006566BD">
            <w:pPr>
              <w:spacing w:before="180" w:after="180"/>
              <w:rPr>
                <w:rFonts w:ascii="Calibri" w:eastAsia="Times New Roman" w:hAnsi="Calibri" w:cs="Calibri"/>
              </w:rPr>
            </w:pPr>
            <w:r>
              <w:rPr>
                <w:rFonts w:ascii="Calibri" w:eastAsia="Times New Roman" w:hAnsi="Calibri" w:cs="Calibri"/>
              </w:rPr>
              <w:t>Reglas base identificadas para estructura, fallos, pendientes y reprocesos</w:t>
            </w:r>
          </w:p>
        </w:tc>
      </w:tr>
    </w:tbl>
    <w:p w14:paraId="6121127D" w14:textId="77777777" w:rsidR="006566BD" w:rsidRDefault="006566BD">
      <w:pPr>
        <w:pStyle w:val="Ttulo2"/>
        <w:rPr>
          <w:rFonts w:ascii="Calibri" w:eastAsia="Times New Roman" w:hAnsi="Calibri" w:cs="Calibri"/>
        </w:rPr>
      </w:pPr>
      <w:r>
        <w:rPr>
          <w:rFonts w:ascii="Calibri" w:eastAsia="Times New Roman" w:hAnsi="Calibri" w:cs="Calibri"/>
        </w:rPr>
        <w:t>4. Reuniones y Acuerdos</w:t>
      </w:r>
    </w:p>
    <w:p w14:paraId="4CCF3CD8" w14:textId="77777777" w:rsidR="006566BD" w:rsidRDefault="006566BD" w:rsidP="006566BD">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2026-04-08: Revisión inicial del nuevo alcance contractual. Acuerdo: estructurar la documentación mensual con cinco líneas de trabajo y corte trimestral al 30 de junio.</w:t>
      </w:r>
    </w:p>
    <w:p w14:paraId="455E18D7" w14:textId="77777777" w:rsidR="006566BD" w:rsidRDefault="006566BD" w:rsidP="006566BD">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2026-04-15: Revisión técnica del repositorio auxiliar Vida Saludable. Acuerdo: utilizarlo como referencia de arquitectura, proceso y evidencias operativas.</w:t>
      </w:r>
    </w:p>
    <w:p w14:paraId="45EBB8F0" w14:textId="77777777" w:rsidR="006566BD" w:rsidRDefault="006566BD" w:rsidP="006566BD">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2026-04-22: Definición de métricas y entregables mensuales. Acuerdo: establecer línea base en abril y profundizar implementación y medición en mayo.</w:t>
      </w:r>
    </w:p>
    <w:p w14:paraId="7F2297F0" w14:textId="77777777" w:rsidR="006566BD" w:rsidRDefault="006566BD" w:rsidP="006566BD">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2026-04-29: Cierre mensual de análisis. Acuerdo: consolidar en mayo las pruebas, comparativos de rendimiento y evidencias de operación por lote.</w:t>
      </w:r>
    </w:p>
    <w:p w14:paraId="6D2BE0B3" w14:textId="77777777" w:rsidR="006566BD" w:rsidRDefault="006566BD">
      <w:pPr>
        <w:pStyle w:val="Ttulo2"/>
        <w:rPr>
          <w:rFonts w:ascii="Calibri" w:eastAsia="Times New Roman" w:hAnsi="Calibri" w:cs="Calibri"/>
        </w:rPr>
      </w:pPr>
      <w:r>
        <w:rPr>
          <w:rFonts w:ascii="Calibri" w:eastAsia="Times New Roman" w:hAnsi="Calibri" w:cs="Calibri"/>
        </w:rPr>
        <w:t>5. Dificultades y Retos</w:t>
      </w:r>
    </w:p>
    <w:p w14:paraId="47581F73"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cambio de contrato implicó redefinir el enfoque documental respecto a los meses anteriores, por lo que abril se dedicó parcialmente a reestructurar la evidencia requerida.</w:t>
      </w:r>
    </w:p>
    <w:p w14:paraId="1ABB5253"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Algunas actividades requieren todavía validación funcional y operativa adicional para traducir el análisis técnico en resultados medibles antes/después.</w:t>
      </w:r>
    </w:p>
    <w:p w14:paraId="1F5201F0"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etapa de cartas no quedó completamente implementada en la evidencia revisada y debe cerrarse con reglas de negocio más explícitas.</w:t>
      </w:r>
    </w:p>
    <w:p w14:paraId="2821081D"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de datos para IA depende de la consolidación de trazas, catálogos y resultados operativos para asegurar utilidad analítica real.</w:t>
      </w:r>
    </w:p>
    <w:p w14:paraId="164115A8"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monitoreo y alertamiento requieren integración progresiva con ejecución real para calibrar umbrales y procedimientos de atención.</w:t>
      </w:r>
    </w:p>
    <w:p w14:paraId="59E88EB1" w14:textId="77777777" w:rsidR="006566BD" w:rsidRDefault="006566BD" w:rsidP="006566BD">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ETL/ELT exige separar con claridad el pipeline actualmente observable del soporte multiformato aún pendiente de implementación.</w:t>
      </w:r>
    </w:p>
    <w:p w14:paraId="49B71323" w14:textId="77777777" w:rsidR="006566BD" w:rsidRDefault="006566BD">
      <w:pPr>
        <w:pStyle w:val="Ttulo2"/>
        <w:rPr>
          <w:rFonts w:ascii="Calibri" w:eastAsia="Times New Roman" w:hAnsi="Calibri" w:cs="Calibri"/>
        </w:rPr>
      </w:pPr>
      <w:r>
        <w:rPr>
          <w:rFonts w:ascii="Calibri" w:eastAsia="Times New Roman" w:hAnsi="Calibri" w:cs="Calibri"/>
        </w:rPr>
        <w:t>6. Próximos Pasos</w:t>
      </w:r>
    </w:p>
    <w:p w14:paraId="0F6602B4" w14:textId="77777777" w:rsidR="006566BD" w:rsidRDefault="006566BD" w:rsidP="006566BD">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Consolidar la implementación y evidencia operativa del proceso Vida Saludable en sus etapas críticas, incluyendo lotes, descargas, bitácora y etapa posterior a </w:t>
      </w:r>
      <w:r>
        <w:rPr>
          <w:rStyle w:val="CdigoHTML"/>
        </w:rPr>
        <w:t>sin-carta</w:t>
      </w:r>
      <w:r>
        <w:rPr>
          <w:rFonts w:ascii="Calibri" w:eastAsia="Times New Roman" w:hAnsi="Calibri" w:cs="Calibri"/>
        </w:rPr>
        <w:t>.</w:t>
      </w:r>
    </w:p>
    <w:p w14:paraId="578276D3" w14:textId="77777777" w:rsidR="006566BD" w:rsidRDefault="006566BD" w:rsidP="006566BD">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Ejecutar mediciones comparativas de rendimiento con evidencia antes/después sobre consultas, índices y concurrencia.</w:t>
      </w:r>
    </w:p>
    <w:p w14:paraId="431568C6" w14:textId="77777777" w:rsidR="006566BD" w:rsidRDefault="006566BD" w:rsidP="006566BD">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Formalizar el esquema de monitoreo y alertamiento con pruebas controladas y calibración inicial de umbrales.</w:t>
      </w:r>
    </w:p>
    <w:p w14:paraId="276151E4" w14:textId="77777777" w:rsidR="006566BD" w:rsidRDefault="006566BD" w:rsidP="006566BD">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Avanzar en la curación de datasets piloto y en criterios de gobernanza para uso con IA.</w:t>
      </w:r>
    </w:p>
    <w:p w14:paraId="5B8F6920" w14:textId="77777777" w:rsidR="006566BD" w:rsidRDefault="006566BD" w:rsidP="006566BD">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Documentar procesos ETL/ELT sobre insumos controlados, diferenciando claramente lo ya implementado de lo contractual.</w:t>
      </w:r>
    </w:p>
    <w:p w14:paraId="27C0CD8A" w14:textId="77777777" w:rsidR="006566BD" w:rsidRDefault="006566BD">
      <w:pPr>
        <w:rPr>
          <w:rFonts w:ascii="Calibri" w:eastAsia="Times New Roman" w:hAnsi="Calibri" w:cs="Calibri"/>
        </w:rPr>
      </w:pPr>
      <w:r>
        <w:rPr>
          <w:rFonts w:ascii="Calibri" w:eastAsia="Times New Roman" w:hAnsi="Calibri" w:cs="Calibri"/>
        </w:rPr>
        <w:pict w14:anchorId="5C3FED61">
          <v:rect id="_x0000_i1026" style="width:0;height:1.5pt" o:hralign="center" o:hrstd="t" o:hr="t" fillcolor="#a0a0a0" stroked="f"/>
        </w:pict>
      </w:r>
    </w:p>
    <w:p w14:paraId="2A99E39A" w14:textId="77777777" w:rsidR="006566BD" w:rsidRDefault="006566BD">
      <w:pPr>
        <w:pStyle w:val="NormalWeb"/>
        <w:rPr>
          <w:rFonts w:ascii="Calibri" w:hAnsi="Calibri" w:cs="Calibri"/>
          <w:sz w:val="22"/>
          <w:szCs w:val="22"/>
        </w:rPr>
      </w:pPr>
      <w:r>
        <w:rPr>
          <w:rStyle w:val="Fuerte"/>
          <w:rFonts w:ascii="Calibri" w:hAnsi="Calibri" w:cs="Calibri"/>
          <w:sz w:val="22"/>
          <w:szCs w:val="22"/>
        </w:rPr>
        <w:t>Comentarios adicionales:</w:t>
      </w:r>
    </w:p>
    <w:p w14:paraId="6CBD54D2" w14:textId="77777777" w:rsidR="006566BD" w:rsidRDefault="006566BD">
      <w:pPr>
        <w:pStyle w:val="NormalWeb"/>
        <w:rPr>
          <w:rFonts w:ascii="Calibri" w:hAnsi="Calibri" w:cs="Calibri"/>
          <w:sz w:val="22"/>
          <w:szCs w:val="22"/>
        </w:rPr>
      </w:pPr>
      <w:r>
        <w:rPr>
          <w:rFonts w:ascii="Calibri" w:hAnsi="Calibri" w:cs="Calibri"/>
          <w:sz w:val="22"/>
          <w:szCs w:val="22"/>
        </w:rPr>
        <w:t>Abril se considera un mes de arranque y estructuración del nuevo contrato, pero ya con una delimitación técnica más precisa del proceso operativo base, de sus superficies de datos y de sus dependencias de observabilidad, rendimiento, IA y ETL/ELT. La continuidad deberá centrarse en convertir esta línea base en resultados medibles, datasets controlados, pruebas documentadas y evidencia operativa verificable para mayo y para el corte trimestral de junio.</w:t>
      </w:r>
    </w:p>
    <w:p w14:paraId="356666F4" w14:textId="77777777" w:rsidR="00762984" w:rsidRPr="00762984" w:rsidRDefault="00762984" w:rsidP="00762984">
      <w:pPr>
        <w:rPr>
          <w:rFonts w:asciiTheme="minorHAnsi" w:hAnsiTheme="minorHAnsi"/>
          <w:color w:val="auto"/>
        </w:rPr>
      </w:pPr>
    </w:p>
    <w:p w14:paraId="34886560" w14:textId="77777777" w:rsidR="00762984" w:rsidRPr="00762984" w:rsidRDefault="00762984" w:rsidP="00762984">
      <w:pPr>
        <w:rPr>
          <w:rFonts w:asciiTheme="minorHAnsi" w:hAnsiTheme="minorHAnsi"/>
          <w:color w:val="auto"/>
        </w:rPr>
      </w:pPr>
    </w:p>
    <w:p w14:paraId="6FA5D955" w14:textId="77777777" w:rsidR="00762984" w:rsidRPr="00762984" w:rsidRDefault="00762984"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0" w:name="_Toc217296775"/>
      <w:bookmarkStart w:id="1" w:name="_Toc219739752"/>
      <w:r w:rsidRPr="00762984">
        <w:rPr>
          <w:rFonts w:asciiTheme="majorHAnsi" w:eastAsiaTheme="majorEastAsia" w:hAnsiTheme="majorHAnsi" w:cstheme="majorBidi"/>
          <w:b/>
          <w:bCs/>
          <w:color w:val="4F81BD" w:themeColor="accent1"/>
          <w:sz w:val="26"/>
          <w:szCs w:val="26"/>
        </w:rPr>
        <w:t>8. Sección de firmas</w:t>
      </w:r>
      <w:bookmarkEnd w:id="0"/>
      <w:bookmarkEnd w:id="1"/>
    </w:p>
    <w:p w14:paraId="488F7A54" w14:textId="77777777" w:rsidR="00762984" w:rsidRPr="00762984" w:rsidRDefault="00762984" w:rsidP="00762984">
      <w:pPr>
        <w:rPr>
          <w:rFonts w:asciiTheme="minorHAnsi" w:hAnsiTheme="minorHAnsi"/>
          <w:color w:val="auto"/>
        </w:rPr>
      </w:pPr>
    </w:p>
    <w:p w14:paraId="4354CA72" w14:textId="77777777" w:rsidR="00762984" w:rsidRPr="00762984" w:rsidRDefault="00762984" w:rsidP="00762984">
      <w:pPr>
        <w:rPr>
          <w:rFonts w:ascii="Arial" w:hAnsi="Arial" w:cs="Arial"/>
          <w:color w:val="auto"/>
        </w:rPr>
      </w:pPr>
      <w:r w:rsidRPr="00762984">
        <w:rPr>
          <w:rFonts w:ascii="Arial" w:hAnsi="Arial" w:cs="Arial"/>
          <w:color w:val="auto"/>
        </w:rPr>
        <w:t>Tras la revisión del documento,</w:t>
      </w:r>
      <w:r w:rsidRPr="00762984">
        <w:rPr>
          <w:rFonts w:asciiTheme="minorHAnsi" w:hAnsiTheme="minorHAnsi"/>
          <w:color w:val="auto"/>
        </w:rPr>
        <w:t xml:space="preserve"> s</w:t>
      </w:r>
      <w:r w:rsidRPr="00762984">
        <w:rPr>
          <w:rFonts w:ascii="Arial" w:hAnsi="Arial" w:cs="Arial"/>
          <w:color w:val="auto"/>
        </w:rPr>
        <w:t>e presentan las firmas de elaboración y aprobación:</w:t>
      </w:r>
    </w:p>
    <w:p w14:paraId="1BADAD35" w14:textId="77777777" w:rsidR="00B614EE" w:rsidRDefault="00B614EE" w:rsidP="003B7A12">
      <w:pPr>
        <w:spacing w:line="360" w:lineRule="auto"/>
        <w:rPr>
          <w:rFonts w:ascii="Montserrat" w:hAnsi="Montserrat"/>
          <w:sz w:val="24"/>
          <w:szCs w:val="24"/>
        </w:rPr>
      </w:pPr>
    </w:p>
    <w:p w14:paraId="0A2D1410" w14:textId="77777777" w:rsidR="00B614EE" w:rsidRPr="003B7A12"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3B7A12" w14:paraId="1DCD0059" w14:textId="77777777" w:rsidTr="00E41D98">
        <w:trPr>
          <w:trHeight w:val="1410"/>
        </w:trPr>
        <w:tc>
          <w:tcPr>
            <w:tcW w:w="4675" w:type="dxa"/>
          </w:tcPr>
          <w:p w14:paraId="39E4F0BD" w14:textId="77777777" w:rsidR="00C72784" w:rsidRPr="003B7A12" w:rsidRDefault="00C72784" w:rsidP="003B7A12">
            <w:pPr>
              <w:spacing w:line="360" w:lineRule="auto"/>
              <w:rPr>
                <w:rFonts w:ascii="Montserrat" w:hAnsi="Montserrat"/>
                <w:sz w:val="24"/>
                <w:szCs w:val="24"/>
              </w:rPr>
            </w:pPr>
          </w:p>
        </w:tc>
        <w:tc>
          <w:tcPr>
            <w:tcW w:w="4675" w:type="dxa"/>
          </w:tcPr>
          <w:p w14:paraId="1EF450D0" w14:textId="77777777" w:rsidR="00C72784" w:rsidRPr="003B7A12" w:rsidRDefault="00C72784" w:rsidP="003B7A12">
            <w:pPr>
              <w:spacing w:line="360" w:lineRule="auto"/>
              <w:rPr>
                <w:rFonts w:ascii="Montserrat" w:hAnsi="Montserrat"/>
                <w:sz w:val="24"/>
                <w:szCs w:val="24"/>
              </w:rPr>
            </w:pPr>
          </w:p>
        </w:tc>
      </w:tr>
      <w:tr w:rsidR="00C72784" w:rsidRPr="003B7A12" w14:paraId="7D0815A2" w14:textId="77777777" w:rsidTr="00E41D98">
        <w:tc>
          <w:tcPr>
            <w:tcW w:w="4675" w:type="dxa"/>
          </w:tcPr>
          <w:p w14:paraId="5C93266E" w14:textId="38C4471D" w:rsidR="00C72784" w:rsidRPr="003B7A12" w:rsidRDefault="003A3A97" w:rsidP="003B7A12">
            <w:pPr>
              <w:spacing w:line="360" w:lineRule="auto"/>
              <w:jc w:val="center"/>
              <w:rPr>
                <w:rFonts w:ascii="Montserrat" w:hAnsi="Montserrat"/>
                <w:sz w:val="24"/>
                <w:szCs w:val="24"/>
              </w:rPr>
            </w:pPr>
            <w:r>
              <w:rPr>
                <w:rFonts w:ascii="Montserrat" w:hAnsi="Montserrat" w:cs="Noto Sans"/>
                <w:bCs/>
                <w:i/>
                <w:iCs/>
                <w:sz w:val="24"/>
                <w:szCs w:val="24"/>
              </w:rPr>
              <w:t xml:space="preserve">Victor </w:t>
            </w:r>
            <w:r w:rsidR="00055D65">
              <w:rPr>
                <w:rFonts w:ascii="Montserrat" w:hAnsi="Montserrat" w:cs="Noto Sans"/>
                <w:bCs/>
                <w:i/>
                <w:iCs/>
                <w:sz w:val="24"/>
                <w:szCs w:val="24"/>
              </w:rPr>
              <w:t>Lelo de Larrea Polanco</w:t>
            </w:r>
          </w:p>
        </w:tc>
        <w:tc>
          <w:tcPr>
            <w:tcW w:w="4675" w:type="dxa"/>
          </w:tcPr>
          <w:p w14:paraId="14362A79"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 León Gómez</w:t>
            </w:r>
          </w:p>
        </w:tc>
      </w:tr>
      <w:tr w:rsidR="00C72784" w:rsidRPr="003B7A12" w14:paraId="4EFFA3A4" w14:textId="77777777" w:rsidTr="00E41D98">
        <w:tc>
          <w:tcPr>
            <w:tcW w:w="4675" w:type="dxa"/>
          </w:tcPr>
          <w:p w14:paraId="3A32D21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Jefatura de departamento</w:t>
            </w:r>
          </w:p>
        </w:tc>
        <w:tc>
          <w:tcPr>
            <w:tcW w:w="4675" w:type="dxa"/>
          </w:tcPr>
          <w:p w14:paraId="4AB2F8CD"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Subdirector de Área</w:t>
            </w:r>
          </w:p>
        </w:tc>
      </w:tr>
      <w:tr w:rsidR="00C72784" w:rsidRPr="003B7A12" w14:paraId="18A22D1F" w14:textId="77777777" w:rsidTr="00E41D98">
        <w:tc>
          <w:tcPr>
            <w:tcW w:w="4675" w:type="dxa"/>
          </w:tcPr>
          <w:p w14:paraId="4035BC3F" w14:textId="6EF73872" w:rsidR="00C72784" w:rsidRPr="003B7A12" w:rsidRDefault="000370F9" w:rsidP="003B7A12">
            <w:pPr>
              <w:spacing w:line="360" w:lineRule="auto"/>
              <w:jc w:val="center"/>
              <w:rPr>
                <w:rFonts w:ascii="Montserrat" w:hAnsi="Montserrat"/>
                <w:sz w:val="24"/>
                <w:szCs w:val="24"/>
              </w:rPr>
            </w:pPr>
            <w:r>
              <w:rPr>
                <w:rFonts w:ascii="Montserrat" w:hAnsi="Montserrat" w:cs="Noto Sans"/>
                <w:bCs/>
                <w:i/>
                <w:sz w:val="24"/>
                <w:szCs w:val="24"/>
              </w:rPr>
              <w:t>v</w:t>
            </w:r>
            <w:r w:rsidR="00055D65">
              <w:rPr>
                <w:rFonts w:ascii="Montserrat" w:hAnsi="Montserrat" w:cs="Noto Sans"/>
                <w:bCs/>
                <w:i/>
                <w:sz w:val="24"/>
                <w:szCs w:val="24"/>
              </w:rPr>
              <w:t>ictor.lelodelarrea</w:t>
            </w:r>
            <w:r w:rsidR="00C72784" w:rsidRPr="003B7A12">
              <w:rPr>
                <w:rFonts w:ascii="Montserrat" w:hAnsi="Montserrat" w:cs="Noto Sans"/>
                <w:bCs/>
                <w:i/>
                <w:sz w:val="24"/>
                <w:szCs w:val="24"/>
              </w:rPr>
              <w:t>@nube.sep.gob.mx</w:t>
            </w:r>
          </w:p>
        </w:tc>
        <w:tc>
          <w:tcPr>
            <w:tcW w:w="4675" w:type="dxa"/>
          </w:tcPr>
          <w:p w14:paraId="6883856A"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david.leon@nube.sep.gob.mx</w:t>
            </w:r>
          </w:p>
        </w:tc>
      </w:tr>
      <w:tr w:rsidR="00C72784" w:rsidRPr="003B7A12" w14:paraId="0E84DC51" w14:textId="77777777" w:rsidTr="00E41D98">
        <w:tc>
          <w:tcPr>
            <w:tcW w:w="4675" w:type="dxa"/>
          </w:tcPr>
          <w:p w14:paraId="20A9AA2C" w14:textId="77777777" w:rsidR="00C72784" w:rsidRPr="003B7A12" w:rsidRDefault="00C72784" w:rsidP="003B7A12">
            <w:pPr>
              <w:spacing w:line="360" w:lineRule="auto"/>
              <w:jc w:val="center"/>
              <w:rPr>
                <w:rFonts w:ascii="Montserrat" w:hAnsi="Montserrat"/>
                <w:sz w:val="24"/>
                <w:szCs w:val="24"/>
              </w:rPr>
            </w:pPr>
          </w:p>
        </w:tc>
        <w:tc>
          <w:tcPr>
            <w:tcW w:w="4675" w:type="dxa"/>
          </w:tcPr>
          <w:p w14:paraId="27F21E65"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Cs/>
                <w:i/>
                <w:sz w:val="24"/>
                <w:szCs w:val="24"/>
              </w:rPr>
              <w:t>55917</w:t>
            </w:r>
          </w:p>
        </w:tc>
      </w:tr>
      <w:tr w:rsidR="00C72784" w:rsidRPr="003B7A12" w14:paraId="7419E76D" w14:textId="77777777" w:rsidTr="00E41D98">
        <w:trPr>
          <w:trHeight w:val="382"/>
        </w:trPr>
        <w:tc>
          <w:tcPr>
            <w:tcW w:w="4675" w:type="dxa"/>
          </w:tcPr>
          <w:p w14:paraId="1A04B7D1"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ELABORÓ</w:t>
            </w:r>
          </w:p>
        </w:tc>
        <w:tc>
          <w:tcPr>
            <w:tcW w:w="4675" w:type="dxa"/>
          </w:tcPr>
          <w:p w14:paraId="420C7CBB" w14:textId="77777777" w:rsidR="00C72784" w:rsidRPr="003B7A12" w:rsidRDefault="00C72784" w:rsidP="003B7A12">
            <w:pPr>
              <w:spacing w:line="360" w:lineRule="auto"/>
              <w:jc w:val="center"/>
              <w:rPr>
                <w:rFonts w:ascii="Montserrat" w:hAnsi="Montserrat"/>
                <w:sz w:val="24"/>
                <w:szCs w:val="24"/>
              </w:rPr>
            </w:pPr>
            <w:r w:rsidRPr="003B7A12">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4746D" w14:textId="77777777" w:rsidR="003E316F" w:rsidRPr="003A5DB2" w:rsidRDefault="003E316F" w:rsidP="00997E2E">
      <w:r w:rsidRPr="003A5DB2">
        <w:separator/>
      </w:r>
    </w:p>
  </w:endnote>
  <w:endnote w:type="continuationSeparator" w:id="0">
    <w:p w14:paraId="6D0A2A14" w14:textId="77777777" w:rsidR="003E316F" w:rsidRPr="003A5DB2" w:rsidRDefault="003E316F" w:rsidP="00997E2E">
      <w:r w:rsidRPr="003A5D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3A5DB2" w:rsidRDefault="007B7E00" w:rsidP="007F0EDD">
    <w:pPr>
      <w:pStyle w:val="Encabezado"/>
      <w:ind w:right="474"/>
      <w:rPr>
        <w:rFonts w:ascii="Noto Sans" w:hAnsi="Noto Sans" w:cs="Noto Sans"/>
        <w:sz w:val="18"/>
        <w:szCs w:val="18"/>
      </w:rPr>
    </w:pPr>
    <w:bookmarkStart w:id="2" w:name="_Hlk195261366"/>
    <w:bookmarkStart w:id="3" w:name="_Hlk195261367"/>
    <w:r w:rsidRPr="003A5DB2">
      <w:rPr>
        <w:rFonts w:ascii="Noto Sans" w:hAnsi="Noto Sans" w:cs="Noto Sans"/>
        <w:sz w:val="18"/>
        <w:szCs w:val="18"/>
      </w:rPr>
      <w:t xml:space="preserve">Página </w:t>
    </w:r>
    <w:r w:rsidRPr="003A5DB2">
      <w:rPr>
        <w:rFonts w:ascii="Noto Sans" w:hAnsi="Noto Sans" w:cs="Noto Sans"/>
        <w:b/>
        <w:bCs/>
        <w:sz w:val="18"/>
        <w:szCs w:val="18"/>
      </w:rPr>
      <w:fldChar w:fldCharType="begin"/>
    </w:r>
    <w:r w:rsidRPr="003A5DB2">
      <w:rPr>
        <w:rFonts w:ascii="Noto Sans" w:hAnsi="Noto Sans" w:cs="Noto Sans"/>
        <w:b/>
        <w:bCs/>
        <w:sz w:val="18"/>
        <w:szCs w:val="18"/>
      </w:rPr>
      <w:instrText>PAGE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1</w:t>
    </w:r>
    <w:r w:rsidRPr="003A5DB2">
      <w:rPr>
        <w:rFonts w:ascii="Noto Sans" w:hAnsi="Noto Sans" w:cs="Noto Sans"/>
        <w:b/>
        <w:bCs/>
        <w:sz w:val="18"/>
        <w:szCs w:val="18"/>
      </w:rPr>
      <w:fldChar w:fldCharType="end"/>
    </w:r>
    <w:r w:rsidRPr="003A5DB2">
      <w:rPr>
        <w:rFonts w:ascii="Noto Sans" w:hAnsi="Noto Sans" w:cs="Noto Sans"/>
        <w:sz w:val="18"/>
        <w:szCs w:val="18"/>
      </w:rPr>
      <w:t xml:space="preserve"> de </w:t>
    </w:r>
    <w:r w:rsidRPr="003A5DB2">
      <w:rPr>
        <w:rFonts w:ascii="Noto Sans" w:hAnsi="Noto Sans" w:cs="Noto Sans"/>
        <w:b/>
        <w:bCs/>
        <w:sz w:val="18"/>
        <w:szCs w:val="18"/>
      </w:rPr>
      <w:fldChar w:fldCharType="begin"/>
    </w:r>
    <w:r w:rsidRPr="003A5DB2">
      <w:rPr>
        <w:rFonts w:ascii="Noto Sans" w:hAnsi="Noto Sans" w:cs="Noto Sans"/>
        <w:b/>
        <w:bCs/>
        <w:sz w:val="18"/>
        <w:szCs w:val="18"/>
      </w:rPr>
      <w:instrText>NUMPAGES  \* Arabic  \* MERGEFORMAT</w:instrText>
    </w:r>
    <w:r w:rsidRPr="003A5DB2">
      <w:rPr>
        <w:rFonts w:ascii="Noto Sans" w:hAnsi="Noto Sans" w:cs="Noto Sans"/>
        <w:b/>
        <w:bCs/>
        <w:sz w:val="18"/>
        <w:szCs w:val="18"/>
      </w:rPr>
      <w:fldChar w:fldCharType="separate"/>
    </w:r>
    <w:r w:rsidRPr="003A5DB2">
      <w:rPr>
        <w:rFonts w:ascii="Noto Sans" w:hAnsi="Noto Sans" w:cs="Noto Sans"/>
        <w:b/>
        <w:bCs/>
        <w:sz w:val="18"/>
        <w:szCs w:val="18"/>
      </w:rPr>
      <w:t>2</w:t>
    </w:r>
    <w:r w:rsidRPr="003A5DB2">
      <w:rPr>
        <w:rFonts w:ascii="Noto Sans" w:hAnsi="Noto Sans" w:cs="Noto Sans"/>
        <w:b/>
        <w:bCs/>
        <w:sz w:val="18"/>
        <w:szCs w:val="18"/>
      </w:rPr>
      <w:fldChar w:fldCharType="end"/>
    </w:r>
    <w:r w:rsidR="00997E2E" w:rsidRPr="003A5DB2">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3A5DB2" w:rsidRDefault="00997E2E" w:rsidP="00997E2E">
    <w:pPr>
      <w:pStyle w:val="Encabezado"/>
      <w:ind w:right="474"/>
      <w:jc w:val="right"/>
      <w:rPr>
        <w:rFonts w:ascii="Noto Sans" w:hAnsi="Noto Sans" w:cs="Noto Sans"/>
        <w:sz w:val="18"/>
        <w:szCs w:val="18"/>
      </w:rPr>
    </w:pPr>
  </w:p>
  <w:p w14:paraId="3D3E01B5" w14:textId="06503723"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Unidad de Administración y Finanzas</w:t>
    </w:r>
    <w:r w:rsidRPr="003A5DB2">
      <w:rPr>
        <w:rFonts w:ascii="Noto Sans" w:hAnsi="Noto Sans" w:cs="Noto Sans"/>
        <w:sz w:val="18"/>
        <w:szCs w:val="18"/>
      </w:rPr>
      <w:tab/>
    </w:r>
  </w:p>
  <w:p w14:paraId="0ED43F25" w14:textId="253CB4DD"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Dirección General de Tecnologías de</w:t>
    </w:r>
    <w:r w:rsidRPr="003A5DB2">
      <w:rPr>
        <w:rFonts w:ascii="Noto Sans" w:hAnsi="Noto Sans" w:cs="Noto Sans"/>
        <w:sz w:val="18"/>
        <w:szCs w:val="18"/>
      </w:rPr>
      <w:tab/>
      <w:t xml:space="preserve"> </w:t>
    </w:r>
  </w:p>
  <w:p w14:paraId="7F871F5E" w14:textId="224A0ED0" w:rsidR="00997E2E" w:rsidRPr="003A5DB2" w:rsidRDefault="00997E2E" w:rsidP="007F0EDD">
    <w:pPr>
      <w:pStyle w:val="Encabezado"/>
      <w:ind w:right="474"/>
      <w:jc w:val="right"/>
      <w:rPr>
        <w:rFonts w:ascii="Noto Sans" w:hAnsi="Noto Sans" w:cs="Noto Sans"/>
        <w:sz w:val="18"/>
        <w:szCs w:val="18"/>
      </w:rPr>
    </w:pPr>
    <w:r w:rsidRPr="003A5DB2">
      <w:rPr>
        <w:rFonts w:ascii="Noto Sans" w:hAnsi="Noto Sans" w:cs="Noto Sans"/>
        <w:sz w:val="18"/>
        <w:szCs w:val="18"/>
      </w:rPr>
      <w:t>la Información y Comunicaciones</w:t>
    </w:r>
    <w:r w:rsidRPr="003A5DB2">
      <w:rPr>
        <w:rFonts w:ascii="Noto Sans" w:hAnsi="Noto Sans" w:cs="Noto Sans"/>
        <w:sz w:val="18"/>
        <w:szCs w:val="18"/>
      </w:rPr>
      <w:tab/>
    </w:r>
  </w:p>
  <w:bookmarkEnd w:id="2"/>
  <w:bookmarkEnd w:id="3"/>
  <w:p w14:paraId="7DCB4A70" w14:textId="77777777" w:rsidR="00997E2E" w:rsidRPr="003A5DB2" w:rsidRDefault="00997E2E" w:rsidP="00997E2E">
    <w:pPr>
      <w:pStyle w:val="Encabezado"/>
      <w:ind w:right="474"/>
      <w:jc w:val="right"/>
    </w:pPr>
  </w:p>
  <w:p w14:paraId="370C7DA8" w14:textId="7BBD45B3" w:rsidR="00E42075" w:rsidRPr="003A5DB2"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EFFB" w14:textId="77777777" w:rsidR="003E316F" w:rsidRPr="003A5DB2" w:rsidRDefault="003E316F" w:rsidP="00997E2E">
      <w:r w:rsidRPr="003A5DB2">
        <w:separator/>
      </w:r>
    </w:p>
  </w:footnote>
  <w:footnote w:type="continuationSeparator" w:id="0">
    <w:p w14:paraId="24E28B5E" w14:textId="77777777" w:rsidR="003E316F" w:rsidRPr="003A5DB2" w:rsidRDefault="003E316F" w:rsidP="00997E2E">
      <w:r w:rsidRPr="003A5D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3A5DB2" w:rsidRDefault="00997E2E" w:rsidP="00997E2E">
    <w:pPr>
      <w:pStyle w:val="Encabezado"/>
    </w:pPr>
    <w:r w:rsidRPr="003A5DB2">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3A5DB2" w:rsidRDefault="00997E2E" w:rsidP="00997E2E">
    <w:pPr>
      <w:pStyle w:val="Encabezado"/>
      <w:jc w:val="right"/>
    </w:pPr>
    <w:r w:rsidRPr="003A5DB2">
      <w:t>Unidad de Administración y Finanzas</w:t>
    </w:r>
    <w:r w:rsidRPr="003A5DB2">
      <w:tab/>
    </w:r>
  </w:p>
  <w:p w14:paraId="7E408CE7" w14:textId="31431E63" w:rsidR="00997E2E" w:rsidRPr="003A5DB2" w:rsidRDefault="00997E2E" w:rsidP="00997E2E">
    <w:pPr>
      <w:pStyle w:val="Encabezado"/>
      <w:jc w:val="right"/>
    </w:pPr>
    <w:r w:rsidRPr="003A5DB2">
      <w:t>Dirección General de Tecnologías de</w:t>
    </w:r>
    <w:r w:rsidRPr="003A5DB2">
      <w:tab/>
      <w:t xml:space="preserve"> </w:t>
    </w:r>
  </w:p>
  <w:p w14:paraId="0D6A6991" w14:textId="76F185EB" w:rsidR="00997E2E" w:rsidRPr="003A5DB2" w:rsidRDefault="00997E2E" w:rsidP="00997E2E">
    <w:pPr>
      <w:pStyle w:val="Encabezado"/>
      <w:jc w:val="right"/>
    </w:pPr>
    <w:r w:rsidRPr="003A5DB2">
      <w:t>la Información y Comunicaciones</w:t>
    </w:r>
    <w:r w:rsidRPr="003A5DB2">
      <w:tab/>
    </w:r>
  </w:p>
  <w:p w14:paraId="466085AA" w14:textId="77777777" w:rsidR="00997E2E" w:rsidRPr="003A5DB2" w:rsidRDefault="00997E2E" w:rsidP="00997E2E">
    <w:pPr>
      <w:pStyle w:val="Encabezado"/>
    </w:pPr>
  </w:p>
  <w:p w14:paraId="57844811" w14:textId="77777777" w:rsidR="00997E2E" w:rsidRPr="003A5DB2"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3A7668"/>
    <w:multiLevelType w:val="multilevel"/>
    <w:tmpl w:val="AB4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02904"/>
    <w:multiLevelType w:val="multilevel"/>
    <w:tmpl w:val="6CD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40CD2"/>
    <w:multiLevelType w:val="multilevel"/>
    <w:tmpl w:val="0DC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482478D"/>
    <w:multiLevelType w:val="multilevel"/>
    <w:tmpl w:val="441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C9216C9"/>
    <w:multiLevelType w:val="multilevel"/>
    <w:tmpl w:val="CA0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00B83"/>
    <w:multiLevelType w:val="multilevel"/>
    <w:tmpl w:val="C42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56B03"/>
    <w:multiLevelType w:val="multilevel"/>
    <w:tmpl w:val="26F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413A7"/>
    <w:multiLevelType w:val="multilevel"/>
    <w:tmpl w:val="62A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BAA3F64"/>
    <w:multiLevelType w:val="multilevel"/>
    <w:tmpl w:val="4494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8"/>
  </w:num>
  <w:num w:numId="8" w16cid:durableId="1187519976">
    <w:abstractNumId w:val="11"/>
  </w:num>
  <w:num w:numId="9" w16cid:durableId="774518276">
    <w:abstractNumId w:val="7"/>
  </w:num>
  <w:num w:numId="10" w16cid:durableId="2009867063">
    <w:abstractNumId w:val="13"/>
  </w:num>
  <w:num w:numId="11" w16cid:durableId="1924602666">
    <w:abstractNumId w:val="19"/>
  </w:num>
  <w:num w:numId="12" w16cid:durableId="2021344936">
    <w:abstractNumId w:val="2"/>
  </w:num>
  <w:num w:numId="13" w16cid:durableId="1705984856">
    <w:abstractNumId w:val="14"/>
  </w:num>
  <w:num w:numId="14" w16cid:durableId="1469127446">
    <w:abstractNumId w:val="16"/>
  </w:num>
  <w:num w:numId="15" w16cid:durableId="294532030">
    <w:abstractNumId w:val="9"/>
  </w:num>
  <w:num w:numId="16" w16cid:durableId="179857392">
    <w:abstractNumId w:val="17"/>
  </w:num>
  <w:num w:numId="17" w16cid:durableId="565531058">
    <w:abstractNumId w:val="15"/>
  </w:num>
  <w:num w:numId="18" w16cid:durableId="2034108199">
    <w:abstractNumId w:val="8"/>
  </w:num>
  <w:num w:numId="19" w16cid:durableId="1613047807">
    <w:abstractNumId w:val="12"/>
  </w:num>
  <w:num w:numId="20" w16cid:durableId="1987005320">
    <w:abstractNumId w:val="10"/>
  </w:num>
  <w:num w:numId="21" w16cid:durableId="1389065203">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4616"/>
    <w:rsid w:val="000370F9"/>
    <w:rsid w:val="00055D65"/>
    <w:rsid w:val="00057AD0"/>
    <w:rsid w:val="0006063C"/>
    <w:rsid w:val="00083F2C"/>
    <w:rsid w:val="00084C49"/>
    <w:rsid w:val="00090885"/>
    <w:rsid w:val="000C6807"/>
    <w:rsid w:val="000E2A85"/>
    <w:rsid w:val="0011731C"/>
    <w:rsid w:val="001427DC"/>
    <w:rsid w:val="0015074B"/>
    <w:rsid w:val="00157EAF"/>
    <w:rsid w:val="00176EC1"/>
    <w:rsid w:val="001A3E81"/>
    <w:rsid w:val="001C128F"/>
    <w:rsid w:val="001E4A8B"/>
    <w:rsid w:val="001F6D0E"/>
    <w:rsid w:val="00204D8B"/>
    <w:rsid w:val="0021558B"/>
    <w:rsid w:val="00217143"/>
    <w:rsid w:val="00281FC3"/>
    <w:rsid w:val="00281FCA"/>
    <w:rsid w:val="0029639D"/>
    <w:rsid w:val="002B281F"/>
    <w:rsid w:val="002C3587"/>
    <w:rsid w:val="002C5C4E"/>
    <w:rsid w:val="003067C9"/>
    <w:rsid w:val="00310D52"/>
    <w:rsid w:val="00322ECA"/>
    <w:rsid w:val="0032551C"/>
    <w:rsid w:val="00326D19"/>
    <w:rsid w:val="00326F90"/>
    <w:rsid w:val="00364FFA"/>
    <w:rsid w:val="003900CC"/>
    <w:rsid w:val="0039521E"/>
    <w:rsid w:val="003A3A97"/>
    <w:rsid w:val="003A5DB2"/>
    <w:rsid w:val="003B5DF2"/>
    <w:rsid w:val="003B7A12"/>
    <w:rsid w:val="003C7FA1"/>
    <w:rsid w:val="003E316F"/>
    <w:rsid w:val="003F7817"/>
    <w:rsid w:val="00440931"/>
    <w:rsid w:val="0045232B"/>
    <w:rsid w:val="00460181"/>
    <w:rsid w:val="00477234"/>
    <w:rsid w:val="00490C87"/>
    <w:rsid w:val="0049360B"/>
    <w:rsid w:val="004A577B"/>
    <w:rsid w:val="004D2F30"/>
    <w:rsid w:val="004D6556"/>
    <w:rsid w:val="004F6419"/>
    <w:rsid w:val="005014CD"/>
    <w:rsid w:val="00517CFC"/>
    <w:rsid w:val="00547C5E"/>
    <w:rsid w:val="00555191"/>
    <w:rsid w:val="0057038B"/>
    <w:rsid w:val="005F77E9"/>
    <w:rsid w:val="00606958"/>
    <w:rsid w:val="00614DF1"/>
    <w:rsid w:val="00643CB0"/>
    <w:rsid w:val="0065130E"/>
    <w:rsid w:val="006566BD"/>
    <w:rsid w:val="006608CE"/>
    <w:rsid w:val="006942DE"/>
    <w:rsid w:val="006B5472"/>
    <w:rsid w:val="007138C2"/>
    <w:rsid w:val="00714169"/>
    <w:rsid w:val="00762984"/>
    <w:rsid w:val="007B7E00"/>
    <w:rsid w:val="007C3C28"/>
    <w:rsid w:val="007C519E"/>
    <w:rsid w:val="007C6CE5"/>
    <w:rsid w:val="007D3EBE"/>
    <w:rsid w:val="007D76F8"/>
    <w:rsid w:val="007F0EDD"/>
    <w:rsid w:val="007F53AE"/>
    <w:rsid w:val="00802FD5"/>
    <w:rsid w:val="00815657"/>
    <w:rsid w:val="008170A1"/>
    <w:rsid w:val="0085498B"/>
    <w:rsid w:val="00863E93"/>
    <w:rsid w:val="008916FA"/>
    <w:rsid w:val="0090295F"/>
    <w:rsid w:val="00907CAD"/>
    <w:rsid w:val="00941C93"/>
    <w:rsid w:val="00963875"/>
    <w:rsid w:val="00977E0D"/>
    <w:rsid w:val="0098514F"/>
    <w:rsid w:val="009915B2"/>
    <w:rsid w:val="00997E2E"/>
    <w:rsid w:val="009A0624"/>
    <w:rsid w:val="009B4888"/>
    <w:rsid w:val="00A149CB"/>
    <w:rsid w:val="00A276F6"/>
    <w:rsid w:val="00A96A40"/>
    <w:rsid w:val="00AA1D8D"/>
    <w:rsid w:val="00AC51FC"/>
    <w:rsid w:val="00AD19C4"/>
    <w:rsid w:val="00B22EB7"/>
    <w:rsid w:val="00B47730"/>
    <w:rsid w:val="00B54250"/>
    <w:rsid w:val="00B614EE"/>
    <w:rsid w:val="00B72F19"/>
    <w:rsid w:val="00B94D44"/>
    <w:rsid w:val="00BF1A0A"/>
    <w:rsid w:val="00C023B4"/>
    <w:rsid w:val="00C52C1F"/>
    <w:rsid w:val="00C5797C"/>
    <w:rsid w:val="00C663DF"/>
    <w:rsid w:val="00C72784"/>
    <w:rsid w:val="00CB0664"/>
    <w:rsid w:val="00CE3CE1"/>
    <w:rsid w:val="00CF5767"/>
    <w:rsid w:val="00D27B0B"/>
    <w:rsid w:val="00D3559E"/>
    <w:rsid w:val="00D94679"/>
    <w:rsid w:val="00DD799D"/>
    <w:rsid w:val="00E42075"/>
    <w:rsid w:val="00E60372"/>
    <w:rsid w:val="00E71416"/>
    <w:rsid w:val="00EA0966"/>
    <w:rsid w:val="00EC77A7"/>
    <w:rsid w:val="00EE6865"/>
    <w:rsid w:val="00EE6F82"/>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566BD"/>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6566B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2264</Words>
  <Characters>12457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17</cp:revision>
  <cp:lastPrinted>2026-01-20T21:57:00Z</cp:lastPrinted>
  <dcterms:created xsi:type="dcterms:W3CDTF">2026-01-19T19:50:00Z</dcterms:created>
  <dcterms:modified xsi:type="dcterms:W3CDTF">2026-05-18T23:35:00Z</dcterms:modified>
  <cp:category/>
</cp:coreProperties>
</file>