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805FD9" w:rsidRDefault="00805FD9">
      <w:pPr>
        <w:pStyle w:val="Ttulo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Informe Mensual de Actividades</w:t>
      </w:r>
    </w:p>
    <w:p w:rsidR="00805FD9" w:rsidRDefault="00805FD9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Mes:</w:t>
      </w:r>
      <w:r>
        <w:rPr>
          <w:rFonts w:ascii="Calibri" w:hAnsi="Calibri" w:cs="Calibri"/>
          <w:sz w:val="22"/>
          <w:szCs w:val="22"/>
        </w:rPr>
        <w:t xml:space="preserve"> Junio 2026 </w:t>
      </w:r>
    </w:p>
    <w:p w:rsidR="00805FD9" w:rsidRDefault="00805FD9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Responsable:</w:t>
      </w:r>
      <w:r>
        <w:rPr>
          <w:rFonts w:ascii="Calibri" w:hAnsi="Calibri" w:cs="Calibri"/>
          <w:sz w:val="22"/>
          <w:szCs w:val="22"/>
        </w:rPr>
        <w:t xml:space="preserve"> Victor Manuel Lelo de Larea Polanco </w:t>
      </w:r>
    </w:p>
    <w:p w:rsidR="00805FD9" w:rsidRDefault="00805FD9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Área:</w:t>
      </w:r>
      <w:r>
        <w:rPr>
          <w:rFonts w:ascii="Calibri" w:hAnsi="Calibri" w:cs="Calibri"/>
          <w:sz w:val="22"/>
          <w:szCs w:val="22"/>
        </w:rPr>
        <w:t xml:space="preserve"> Coordinación de Proyectos de TI</w:t>
      </w:r>
    </w:p>
    <w:p w:rsidR="00805FD9" w:rsidRDefault="00805FD9">
      <w:pPr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pict>
          <v:rect id="_x0000_i1025" style="width:0;height:1.5pt" o:hralign="center" o:hrstd="t" o:hr="t" fillcolor="#a0a0a0" stroked="f"/>
        </w:pict>
      </w:r>
    </w:p>
    <w:p w:rsidR="00805FD9" w:rsidRDefault="00805FD9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1. Resumen Ejecutivo</w:t>
      </w:r>
    </w:p>
    <w:p w:rsidR="00805FD9" w:rsidRDefault="00805FD9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Durante junio de 2026 el trabajo deberá concentrarse en consolidar el cierre trimestral de las líneas de trabajo documentadas desde abril y desarrolladas operativamente durante mayo. Este informe corresponde exclusivamente al mes de junio y, por tanto, debe funcionar como documento de cierre, síntesis comparativa y consolidación de evidencia acumulada del trimestre.</w:t>
      </w:r>
    </w:p>
    <w:p w:rsidR="00805FD9" w:rsidRDefault="00805FD9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El enfoque del mes debe orientarse a la consolidación final de evidencias, comparativos, recomendaciones y decisiones técnicas sobre las cinco líneas de trabajo del contrato: proyecto Vida Saludable, rendimiento de bases de datos, monitoreo y alertamiento, preparación de datos para inteligencia artificial y procesos ETL/ELT.</w:t>
      </w:r>
    </w:p>
    <w:p w:rsidR="00805FD9" w:rsidRDefault="00805FD9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Como criterio editorial para evitar confusiones entre meses, en junio debe privilegiarse el registro de resultados consolidados, comparativos abril-mayo-junio, cierre de pendientes, riesgos remanentes y recomendaciones finales del trimestre.</w:t>
      </w:r>
    </w:p>
    <w:p w:rsidR="00805FD9" w:rsidRDefault="00805FD9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 Enfoque del Mes de Junio</w:t>
      </w:r>
    </w:p>
    <w:p w:rsidR="00805FD9" w:rsidRDefault="00805FD9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2.1 Separación respecto de abril y mayo</w:t>
      </w:r>
    </w:p>
    <w:p w:rsidR="00805FD9" w:rsidRDefault="00805FD9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Abril debe entenderse como el mes de línea base y mayo como el mes de evidencia operativa o controlada. Junio, en cambio, debe documentar exclusivamente:</w:t>
      </w:r>
    </w:p>
    <w:p w:rsidR="00805FD9" w:rsidRDefault="00805FD9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consolidación de resultados del trimestre;</w:t>
      </w:r>
    </w:p>
    <w:p w:rsidR="00805FD9" w:rsidRDefault="00805FD9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comparativos acumulados disponibles al cierre de junio;</w:t>
      </w:r>
    </w:p>
    <w:p w:rsidR="00805FD9" w:rsidRDefault="00805FD9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validaciones finales o ajustes de cierre;</w:t>
      </w:r>
    </w:p>
    <w:p w:rsidR="00805FD9" w:rsidRDefault="00805FD9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riesgos abiertos y recomendaciones de continuidad;</w:t>
      </w:r>
    </w:p>
    <w:p w:rsidR="00805FD9" w:rsidRDefault="00805FD9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conclusiones técnicas por línea de trabajo.</w:t>
      </w:r>
    </w:p>
    <w:p w:rsidR="00805FD9" w:rsidRDefault="00805FD9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2.2 Objetivo documental de junio</w:t>
      </w:r>
    </w:p>
    <w:p w:rsidR="00805FD9" w:rsidRDefault="00805FD9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El objetivo del presente mes es que cada línea de trabajo quede cerrada con evidencia suficiente para el corte trimestral, evitando repetir la explicación estructural de abril o la narración operativa </w:t>
      </w:r>
      <w:r>
        <w:rPr>
          <w:rFonts w:ascii="Calibri" w:hAnsi="Calibri" w:cs="Calibri"/>
          <w:sz w:val="22"/>
          <w:szCs w:val="22"/>
        </w:rPr>
        <w:lastRenderedPageBreak/>
        <w:t>detallada de mayo salvo cuando sea necesario para contextualizar un comparativo o una conclusión final.</w:t>
      </w:r>
    </w:p>
    <w:p w:rsidR="00805FD9" w:rsidRDefault="00805FD9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 Actividades a Documentar en Junio</w:t>
      </w:r>
    </w:p>
    <w:p w:rsidR="00805FD9" w:rsidRDefault="00805FD9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3.1 Proyecto Vida Saludable</w:t>
      </w:r>
    </w:p>
    <w:p w:rsidR="00805FD9" w:rsidRDefault="00805FD9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Evidencia de ejecución por lote o de pruebas controladas.</w:t>
      </w:r>
    </w:p>
    <w:p w:rsidR="00805FD9" w:rsidRDefault="00805FD9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Resultados de procesamiento, éxito/fallo y reprocesos.</w:t>
      </w:r>
    </w:p>
    <w:p w:rsidR="00805FD9" w:rsidRDefault="00805FD9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Validación de salidas PDF y de la trazabilidad en base de datos.</w:t>
      </w:r>
    </w:p>
    <w:p w:rsidR="00805FD9" w:rsidRDefault="00805FD9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Avances sobre la etapa posterior a </w:t>
      </w:r>
      <w:r>
        <w:rPr>
          <w:rStyle w:val="CdigoHTML"/>
        </w:rPr>
        <w:t>sin-carta</w:t>
      </w:r>
      <w:r>
        <w:rPr>
          <w:rFonts w:ascii="Calibri" w:eastAsia="Times New Roman" w:hAnsi="Calibri" w:cs="Calibri"/>
          <w:sz w:val="22"/>
          <w:szCs w:val="22"/>
        </w:rPr>
        <w:t>, cuando existan.</w:t>
      </w:r>
    </w:p>
    <w:p w:rsidR="00805FD9" w:rsidRDefault="00805FD9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3.2 Rendimiento de bases de datos</w:t>
      </w:r>
    </w:p>
    <w:p w:rsidR="00805FD9" w:rsidRDefault="00805FD9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Comparativos finales de consultas críticas.</w:t>
      </w:r>
    </w:p>
    <w:p w:rsidR="00805FD9" w:rsidRDefault="00805FD9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Hallazgos consolidados sobre índices, planes de ejecución y tiempos.</w:t>
      </w:r>
    </w:p>
    <w:p w:rsidR="00805FD9" w:rsidRDefault="00805FD9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Impacto observado de parametrización o concurrencia.</w:t>
      </w:r>
    </w:p>
    <w:p w:rsidR="00805FD9" w:rsidRDefault="00805FD9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Recomendaciones finales sustentadas en evidencia del trimestre.</w:t>
      </w:r>
    </w:p>
    <w:p w:rsidR="00805FD9" w:rsidRDefault="00805FD9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3.3 Monitoreo y alertamiento</w:t>
      </w:r>
    </w:p>
    <w:p w:rsidR="00805FD9" w:rsidRDefault="00805FD9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Métricas realmente capturadas durante el mes.</w:t>
      </w:r>
    </w:p>
    <w:p w:rsidR="00805FD9" w:rsidRDefault="00805FD9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Umbrales ajustados o confirmados.</w:t>
      </w:r>
    </w:p>
    <w:p w:rsidR="00805FD9" w:rsidRDefault="00805FD9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Incidencias relevantes y forma de atención.</w:t>
      </w:r>
    </w:p>
    <w:p w:rsidR="00805FD9" w:rsidRDefault="00805FD9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Evidencia de pruebas de observabilidad o alertamiento.</w:t>
      </w:r>
    </w:p>
    <w:p w:rsidR="00805FD9" w:rsidRDefault="00805FD9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3.4 Datos para IA</w:t>
      </w:r>
    </w:p>
    <w:p w:rsidR="00805FD9" w:rsidRDefault="00805FD9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Datasets piloto o cortes controlados elaborados en mayo.</w:t>
      </w:r>
    </w:p>
    <w:p w:rsidR="00805FD9" w:rsidRDefault="00805FD9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Diccionarios de datos o reglas de curación aplicadas.</w:t>
      </w:r>
    </w:p>
    <w:p w:rsidR="00805FD9" w:rsidRDefault="00805FD9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Validaciones de calidad y trazabilidad.</w:t>
      </w:r>
    </w:p>
    <w:p w:rsidR="00805FD9" w:rsidRDefault="00805FD9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Casos de uso mejor delimitados para features o embeddings.</w:t>
      </w:r>
    </w:p>
    <w:p w:rsidR="00805FD9" w:rsidRDefault="00805FD9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3.5 ETL/ELT</w:t>
      </w:r>
    </w:p>
    <w:p w:rsidR="00805FD9" w:rsidRDefault="00805FD9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Evidencia acumulada de validación y transformación.</w:t>
      </w:r>
    </w:p>
    <w:p w:rsidR="00805FD9" w:rsidRDefault="00805FD9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Mapeos consolidados entre origen, transformación y destino.</w:t>
      </w:r>
    </w:p>
    <w:p w:rsidR="00805FD9" w:rsidRDefault="00805FD9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Hallazgos finales de depuración o manejo de errores.</w:t>
      </w:r>
    </w:p>
    <w:p w:rsidR="00805FD9" w:rsidRDefault="00805FD9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Diferenciación clara entre flujo productivo observado y flujos aún especificados.</w:t>
      </w:r>
    </w:p>
    <w:p w:rsidR="00805FD9" w:rsidRDefault="00805FD9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 Estructura Sugerida para el Registro de Junio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17"/>
        <w:gridCol w:w="6505"/>
      </w:tblGrid>
      <w:tr w:rsidR="00000000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805FD9" w:rsidRDefault="00805FD9">
            <w:pPr>
              <w:spacing w:before="180" w:after="180"/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lastRenderedPageBreak/>
              <w:t>Rubro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805FD9" w:rsidRDefault="00805FD9">
            <w:pPr>
              <w:spacing w:before="180" w:after="180"/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Contenido esperado para junio</w:t>
            </w:r>
          </w:p>
        </w:tc>
      </w:tr>
      <w:tr w:rsidR="00000000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805FD9" w:rsidRDefault="00805FD9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Actividad consolidada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805FD9" w:rsidRDefault="00805FD9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Qué quedó ejecutado o cerrado al corte trimestral</w:t>
            </w:r>
          </w:p>
        </w:tc>
      </w:tr>
      <w:tr w:rsidR="00000000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805FD9" w:rsidRDefault="00805FD9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Evidencia levantada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805FD9" w:rsidRDefault="00805FD9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Scripts, mé</w:t>
            </w:r>
            <w:r>
              <w:rPr>
                <w:rFonts w:ascii="Calibri" w:eastAsia="Times New Roman" w:hAnsi="Calibri" w:cs="Calibri"/>
                <w:sz w:val="22"/>
                <w:szCs w:val="22"/>
              </w:rPr>
              <w:t>tricas, tablas, bitácoras, salidas, pruebas o comparativos</w:t>
            </w:r>
          </w:p>
        </w:tc>
      </w:tr>
      <w:tr w:rsidR="00000000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805FD9" w:rsidRDefault="00805FD9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Resultado consolidado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805FD9" w:rsidRDefault="00805FD9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Hallazgo, comportamiento o conclusión final</w:t>
            </w:r>
          </w:p>
        </w:tc>
      </w:tr>
      <w:tr w:rsidR="00000000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805FD9" w:rsidRDefault="00805FD9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Riesgo remanente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805FD9" w:rsidRDefault="00805FD9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Problema abierto, bloqueo o dependencia pendiente</w:t>
            </w:r>
          </w:p>
        </w:tc>
      </w:tr>
      <w:tr w:rsidR="00000000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805FD9" w:rsidRDefault="00805FD9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Recomendación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805FD9" w:rsidRDefault="00805FD9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Acción posterior al cierre de junio</w:t>
            </w:r>
          </w:p>
        </w:tc>
      </w:tr>
    </w:tbl>
    <w:p w:rsidR="00805FD9" w:rsidRDefault="00805FD9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 Reuniones y Acuerdos del Mes</w:t>
      </w:r>
    </w:p>
    <w:p w:rsidR="00805FD9" w:rsidRDefault="00805FD9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2026-06-__: Registrar revisiones técnicas de cierre trimestral.</w:t>
      </w:r>
    </w:p>
    <w:p w:rsidR="00805FD9" w:rsidRDefault="00805FD9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2026-06-__: Registrar acuerdos sobre comparativos, hallazgos o pendientes remanentes.</w:t>
      </w:r>
    </w:p>
    <w:p w:rsidR="00805FD9" w:rsidRDefault="00805FD9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2026-06-__: Registrar acuerdos finales de cierre documental del trimestre.</w:t>
      </w:r>
    </w:p>
    <w:p w:rsidR="00805FD9" w:rsidRDefault="00805FD9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6. Dificultades y Retos del Mes</w:t>
      </w:r>
    </w:p>
    <w:p w:rsidR="00805FD9" w:rsidRDefault="00805FD9">
      <w:pPr>
        <w:numPr>
          <w:ilvl w:val="0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Consolidar evidencia de tres meses sin mezclar niveles de detalle distintos.</w:t>
      </w:r>
    </w:p>
    <w:p w:rsidR="00805FD9" w:rsidRDefault="00805FD9">
      <w:pPr>
        <w:numPr>
          <w:ilvl w:val="0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Diferenciar claramente línea base, evidencia operativa y conclusión final.</w:t>
      </w:r>
    </w:p>
    <w:p w:rsidR="00805FD9" w:rsidRDefault="00805FD9">
      <w:pPr>
        <w:numPr>
          <w:ilvl w:val="0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Precisar qué hallazgos quedaron resueltos y cuáles continúan abiertos al cierre del trimestre.</w:t>
      </w:r>
    </w:p>
    <w:p w:rsidR="00805FD9" w:rsidRDefault="00805FD9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7. Próximos Pasos</w:t>
      </w:r>
    </w:p>
    <w:p w:rsidR="00805FD9" w:rsidRDefault="00805FD9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Consolidar el cierre trimestral por línea de trabajo.</w:t>
      </w:r>
    </w:p>
    <w:p w:rsidR="00805FD9" w:rsidRDefault="00805FD9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Preparar recomendaciones posteriores a junio cuando apliquen.</w:t>
      </w:r>
    </w:p>
    <w:p w:rsidR="00805FD9" w:rsidRDefault="00805FD9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Mantener trazabilidad explícita entre actividad ejecutada, evidencia acumulada y conclusión final.</w:t>
      </w:r>
    </w:p>
    <w:p w:rsidR="00805FD9" w:rsidRDefault="00805FD9">
      <w:pPr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pict>
          <v:rect id="_x0000_i1026" style="width:0;height:1.5pt" o:hralign="center" o:hrstd="t" o:hr="t" fillcolor="#a0a0a0" stroked="f"/>
        </w:pict>
      </w:r>
    </w:p>
    <w:p w:rsidR="00805FD9" w:rsidRDefault="00805FD9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Comentarios adicionales:</w:t>
      </w:r>
    </w:p>
    <w:p w:rsidR="00805FD9" w:rsidRDefault="00805FD9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Este documento corresponde únicamente a junio de 2026. Su función es concentrar el cierre trimestral, los comparativos y las conclusiones finales, usando abril y mayo como antecedentes diferenciados y evitando mezclar en un mismo texto línea base, operación intermedia y cierre final.</w:t>
      </w:r>
    </w:p>
    <w:sectPr w:rsidR="00805FD9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F40CAF"/>
    <w:multiLevelType w:val="multilevel"/>
    <w:tmpl w:val="ADB8E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F66658"/>
    <w:multiLevelType w:val="multilevel"/>
    <w:tmpl w:val="1F4AA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436117"/>
    <w:multiLevelType w:val="multilevel"/>
    <w:tmpl w:val="0E6A5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443504B"/>
    <w:multiLevelType w:val="multilevel"/>
    <w:tmpl w:val="1CE4D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0C52AF3"/>
    <w:multiLevelType w:val="multilevel"/>
    <w:tmpl w:val="F4C6F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84A3E5E"/>
    <w:multiLevelType w:val="multilevel"/>
    <w:tmpl w:val="C6A66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2E34C45"/>
    <w:multiLevelType w:val="multilevel"/>
    <w:tmpl w:val="7D966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7A832DE"/>
    <w:multiLevelType w:val="multilevel"/>
    <w:tmpl w:val="81A07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C335803"/>
    <w:multiLevelType w:val="multilevel"/>
    <w:tmpl w:val="8744A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27833123">
    <w:abstractNumId w:val="7"/>
  </w:num>
  <w:num w:numId="2" w16cid:durableId="328682647">
    <w:abstractNumId w:val="3"/>
  </w:num>
  <w:num w:numId="3" w16cid:durableId="455300112">
    <w:abstractNumId w:val="0"/>
  </w:num>
  <w:num w:numId="4" w16cid:durableId="679084776">
    <w:abstractNumId w:val="5"/>
  </w:num>
  <w:num w:numId="5" w16cid:durableId="1498184559">
    <w:abstractNumId w:val="4"/>
  </w:num>
  <w:num w:numId="6" w16cid:durableId="1208688092">
    <w:abstractNumId w:val="2"/>
  </w:num>
  <w:num w:numId="7" w16cid:durableId="1552761891">
    <w:abstractNumId w:val="8"/>
  </w:num>
  <w:num w:numId="8" w16cid:durableId="1675108294">
    <w:abstractNumId w:val="6"/>
  </w:num>
  <w:num w:numId="9" w16cid:durableId="177689731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4B02"/>
    <w:rsid w:val="00805FD9"/>
    <w:rsid w:val="008C02FB"/>
    <w:rsid w:val="00CD4B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12E20D7C-0D48-4552-B342-0FFECC4384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Ttulo1">
    <w:name w:val="heading 1"/>
    <w:basedOn w:val="Normal"/>
    <w:link w:val="Ttulo1Car"/>
    <w:uiPriority w:val="9"/>
    <w:qFormat/>
    <w:pPr>
      <w:spacing w:before="100" w:beforeAutospacing="1" w:after="100" w:afterAutospacing="1"/>
      <w:outlineLvl w:val="0"/>
    </w:pPr>
    <w:rPr>
      <w:b/>
      <w:bCs/>
      <w:color w:val="1F1F1F"/>
      <w:kern w:val="36"/>
      <w:sz w:val="48"/>
      <w:szCs w:val="48"/>
    </w:rPr>
  </w:style>
  <w:style w:type="paragraph" w:styleId="Ttulo2">
    <w:name w:val="heading 2"/>
    <w:basedOn w:val="Normal"/>
    <w:link w:val="Ttulo2Car"/>
    <w:uiPriority w:val="9"/>
    <w:qFormat/>
    <w:pPr>
      <w:spacing w:before="100" w:beforeAutospacing="1" w:after="100" w:afterAutospacing="1"/>
      <w:outlineLvl w:val="1"/>
    </w:pPr>
    <w:rPr>
      <w:b/>
      <w:bCs/>
      <w:color w:val="1F1F1F"/>
      <w:sz w:val="36"/>
      <w:szCs w:val="36"/>
    </w:rPr>
  </w:style>
  <w:style w:type="paragraph" w:styleId="Ttulo3">
    <w:name w:val="heading 3"/>
    <w:basedOn w:val="Normal"/>
    <w:link w:val="Ttulo3Car"/>
    <w:uiPriority w:val="9"/>
    <w:qFormat/>
    <w:pPr>
      <w:spacing w:before="100" w:beforeAutospacing="1" w:after="100" w:afterAutospacing="1"/>
      <w:outlineLvl w:val="2"/>
    </w:pPr>
    <w:rPr>
      <w:b/>
      <w:bCs/>
      <w:color w:val="1F1F1F"/>
      <w:sz w:val="27"/>
      <w:szCs w:val="27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pPr>
      <w:pBdr>
        <w:top w:val="single" w:sz="6" w:space="8" w:color="DDDDDD"/>
        <w:left w:val="single" w:sz="6" w:space="8" w:color="DDDDDD"/>
        <w:bottom w:val="single" w:sz="6" w:space="8" w:color="DDDDDD"/>
        <w:right w:val="single" w:sz="6" w:space="8" w:color="DDDDDD"/>
      </w:pBdr>
      <w:shd w:val="clear" w:color="auto" w:fill="F4F4F4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nsolas" w:hAnsi="Consolas" w:cs="Courier New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Pr>
      <w:rFonts w:ascii="Consolas" w:eastAsiaTheme="minorEastAsia" w:hAnsi="Consolas"/>
    </w:rPr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  <w:style w:type="character" w:styleId="Fuerte">
    <w:name w:val="Strong"/>
    <w:basedOn w:val="Fuentedeprrafopredeter"/>
    <w:uiPriority w:val="22"/>
    <w:qFormat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Pr>
      <w:rFonts w:ascii="Courier New" w:eastAsiaTheme="minorEastAsia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719</Words>
  <Characters>3955</Characters>
  <Application>Microsoft Office Word</Application>
  <DocSecurity>0</DocSecurity>
  <Lines>32</Lines>
  <Paragraphs>9</Paragraphs>
  <ScaleCrop>false</ScaleCrop>
  <Company/>
  <LinksUpToDate>false</LinksUpToDate>
  <CharactersWithSpaces>4665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Victor Lelo de Larrea Polanco</dc:creator>
  <cp:keywords/>
  <dc:description/>
  <cp:lastModifiedBy>Victor Lelo de Larrea Polanco</cp:lastModifiedBy>
  <cp:revision>2</cp:revision>
  <dcterms:created xsi:type="dcterms:W3CDTF">2026-05-18T23:23:00Z</dcterms:created>
  <dcterms:modified xsi:type="dcterms:W3CDTF">2026-05-18T23:23:00Z</dcterms:modified>
</cp:coreProperties>
</file>