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0C172" w14:textId="77777777" w:rsidR="00B201E9" w:rsidRDefault="00B201E9">
      <w:pPr>
        <w:pStyle w:val="Ttulo1"/>
        <w:rPr>
          <w:rFonts w:ascii="Calibri" w:eastAsia="Times New Roman" w:hAnsi="Calibri" w:cs="Calibri"/>
        </w:rPr>
      </w:pPr>
      <w:r>
        <w:rPr>
          <w:rFonts w:ascii="Calibri" w:eastAsia="Times New Roman" w:hAnsi="Calibri" w:cs="Calibri"/>
        </w:rPr>
        <w:t>Reporte Ejecutivo de Impacto y Resultados Estratégicos (Trimestre de Cierre)</w:t>
      </w:r>
    </w:p>
    <w:p w14:paraId="7A6A0EDF" w14:textId="77777777" w:rsidR="00B201E9" w:rsidRDefault="00B201E9">
      <w:pPr>
        <w:pStyle w:val="NormalWeb"/>
        <w:rPr>
          <w:rFonts w:ascii="Calibri" w:hAnsi="Calibri" w:cs="Calibri"/>
          <w:sz w:val="22"/>
          <w:szCs w:val="22"/>
        </w:rPr>
      </w:pPr>
      <w:r>
        <w:rPr>
          <w:rStyle w:val="Fuerte"/>
          <w:rFonts w:ascii="Calibri" w:hAnsi="Calibri" w:cs="Calibri"/>
          <w:sz w:val="22"/>
          <w:szCs w:val="22"/>
        </w:rPr>
        <w:t>Mes de Cierre:</w:t>
      </w:r>
      <w:r>
        <w:rPr>
          <w:rFonts w:ascii="Calibri" w:hAnsi="Calibri" w:cs="Calibri"/>
          <w:sz w:val="22"/>
          <w:szCs w:val="22"/>
        </w:rPr>
        <w:t xml:space="preserve"> Junio 2026 </w:t>
      </w:r>
    </w:p>
    <w:p w14:paraId="51C986C2" w14:textId="77777777" w:rsidR="00B201E9" w:rsidRDefault="00B201E9">
      <w:pPr>
        <w:pStyle w:val="NormalWeb"/>
        <w:rPr>
          <w:rFonts w:ascii="Calibri" w:hAnsi="Calibri" w:cs="Calibri"/>
          <w:sz w:val="22"/>
          <w:szCs w:val="22"/>
        </w:rPr>
      </w:pPr>
      <w:r>
        <w:rPr>
          <w:rStyle w:val="Fuerte"/>
          <w:rFonts w:ascii="Calibri" w:hAnsi="Calibri" w:cs="Calibri"/>
          <w:sz w:val="22"/>
          <w:szCs w:val="22"/>
        </w:rPr>
        <w:t>Periodo Abarcado:</w:t>
      </w:r>
      <w:r>
        <w:rPr>
          <w:rFonts w:ascii="Calibri" w:hAnsi="Calibri" w:cs="Calibri"/>
          <w:sz w:val="22"/>
          <w:szCs w:val="22"/>
        </w:rPr>
        <w:t xml:space="preserve"> Abril - Mayo - Junio 2026 </w:t>
      </w:r>
    </w:p>
    <w:p w14:paraId="3B43A328" w14:textId="77777777" w:rsidR="00B201E9" w:rsidRDefault="00B201E9">
      <w:pPr>
        <w:pStyle w:val="NormalWeb"/>
        <w:rPr>
          <w:rFonts w:ascii="Calibri" w:hAnsi="Calibri" w:cs="Calibri"/>
          <w:sz w:val="22"/>
          <w:szCs w:val="22"/>
        </w:rPr>
      </w:pPr>
      <w:r>
        <w:rPr>
          <w:rStyle w:val="Fuerte"/>
          <w:rFonts w:ascii="Calibri" w:hAnsi="Calibri" w:cs="Calibri"/>
          <w:sz w:val="22"/>
          <w:szCs w:val="22"/>
        </w:rPr>
        <w:t>Responsable:</w:t>
      </w:r>
      <w:r>
        <w:rPr>
          <w:rFonts w:ascii="Calibri" w:hAnsi="Calibri" w:cs="Calibri"/>
          <w:sz w:val="22"/>
          <w:szCs w:val="22"/>
        </w:rPr>
        <w:t xml:space="preserve"> Victor Manuel Lelo de Larrea Polanco </w:t>
      </w:r>
    </w:p>
    <w:p w14:paraId="2CD717D7" w14:textId="77777777" w:rsidR="00B201E9" w:rsidRDefault="00B201E9">
      <w:pPr>
        <w:pStyle w:val="NormalWeb"/>
        <w:rPr>
          <w:rFonts w:ascii="Calibri" w:hAnsi="Calibri" w:cs="Calibri"/>
          <w:sz w:val="22"/>
          <w:szCs w:val="22"/>
        </w:rPr>
      </w:pPr>
      <w:r>
        <w:rPr>
          <w:rStyle w:val="Fuerte"/>
          <w:rFonts w:ascii="Calibri" w:hAnsi="Calibri" w:cs="Calibri"/>
          <w:sz w:val="22"/>
          <w:szCs w:val="22"/>
        </w:rPr>
        <w:t>Área:</w:t>
      </w:r>
      <w:r>
        <w:rPr>
          <w:rFonts w:ascii="Calibri" w:hAnsi="Calibri" w:cs="Calibri"/>
          <w:sz w:val="22"/>
          <w:szCs w:val="22"/>
        </w:rPr>
        <w:t xml:space="preserve"> Coordinación de Proyectos de TI </w:t>
      </w:r>
    </w:p>
    <w:p w14:paraId="52BA5292" w14:textId="77777777" w:rsidR="00B201E9" w:rsidRDefault="00B201E9">
      <w:pPr>
        <w:rPr>
          <w:rFonts w:ascii="Calibri" w:eastAsia="Times New Roman" w:hAnsi="Calibri" w:cs="Calibri"/>
        </w:rPr>
      </w:pPr>
      <w:r>
        <w:rPr>
          <w:rFonts w:ascii="Calibri" w:eastAsia="Times New Roman" w:hAnsi="Calibri" w:cs="Calibri"/>
        </w:rPr>
        <w:pict w14:anchorId="6EA1E2AF">
          <v:rect id="_x0000_i1025" style="width:0;height:1.5pt" o:hralign="center" o:hrstd="t" o:hr="t" fillcolor="#a0a0a0" stroked="f"/>
        </w:pict>
      </w:r>
    </w:p>
    <w:p w14:paraId="50FE7F1C" w14:textId="77777777" w:rsidR="00B201E9" w:rsidRDefault="00B201E9">
      <w:pPr>
        <w:pStyle w:val="Ttulo2"/>
        <w:rPr>
          <w:rFonts w:ascii="Calibri" w:eastAsia="Times New Roman" w:hAnsi="Calibri" w:cs="Calibri"/>
        </w:rPr>
      </w:pPr>
      <w:r>
        <w:rPr>
          <w:rFonts w:ascii="Calibri" w:eastAsia="Times New Roman" w:hAnsi="Calibri" w:cs="Calibri"/>
        </w:rPr>
        <w:t>1. Resumen Ejecutivo y Visión Estratégica</w:t>
      </w:r>
    </w:p>
    <w:p w14:paraId="4E5F275E" w14:textId="77777777" w:rsidR="00B201E9" w:rsidRDefault="00B201E9">
      <w:pPr>
        <w:pStyle w:val="NormalWeb"/>
        <w:rPr>
          <w:rFonts w:ascii="Calibri" w:hAnsi="Calibri" w:cs="Calibri"/>
          <w:sz w:val="22"/>
          <w:szCs w:val="22"/>
        </w:rPr>
      </w:pPr>
      <w:r>
        <w:rPr>
          <w:rFonts w:ascii="Calibri" w:hAnsi="Calibri" w:cs="Calibri"/>
          <w:sz w:val="22"/>
          <w:szCs w:val="22"/>
        </w:rPr>
        <w:t xml:space="preserve">El presente documento expone los resultados integrales, el impacto organizacional y el valor estratégico entregado durante la gestión del último trimestre en la Coordinación de Proyectos de TI. Durante este periodo, se lideró la estabilización, modernización y entrega definitiva de dos plataformas críticas para la institución: el </w:t>
      </w:r>
      <w:r>
        <w:rPr>
          <w:rStyle w:val="Fuerte"/>
          <w:rFonts w:ascii="Calibri" w:hAnsi="Calibri" w:cs="Calibri"/>
          <w:sz w:val="22"/>
          <w:szCs w:val="22"/>
        </w:rPr>
        <w:t>Sistema de Inteligencia Analítica (MUSEMS-PU)</w:t>
      </w:r>
      <w:r>
        <w:rPr>
          <w:rFonts w:ascii="Calibri" w:hAnsi="Calibri" w:cs="Calibri"/>
          <w:sz w:val="22"/>
          <w:szCs w:val="22"/>
        </w:rPr>
        <w:t xml:space="preserve"> y el </w:t>
      </w:r>
      <w:r>
        <w:rPr>
          <w:rStyle w:val="Fuerte"/>
          <w:rFonts w:ascii="Calibri" w:hAnsi="Calibri" w:cs="Calibri"/>
          <w:sz w:val="22"/>
          <w:szCs w:val="22"/>
        </w:rPr>
        <w:t>Motor Orquestador de Vida Saludable (Fase 2)</w:t>
      </w:r>
      <w:r>
        <w:rPr>
          <w:rFonts w:ascii="Calibri" w:hAnsi="Calibri" w:cs="Calibri"/>
          <w:sz w:val="22"/>
          <w:szCs w:val="22"/>
        </w:rPr>
        <w:t>.</w:t>
      </w:r>
    </w:p>
    <w:p w14:paraId="337624F4" w14:textId="77777777" w:rsidR="00B201E9" w:rsidRDefault="00B201E9">
      <w:pPr>
        <w:pStyle w:val="NormalWeb"/>
        <w:rPr>
          <w:rFonts w:ascii="Calibri" w:hAnsi="Calibri" w:cs="Calibri"/>
          <w:sz w:val="22"/>
          <w:szCs w:val="22"/>
        </w:rPr>
      </w:pPr>
      <w:r>
        <w:rPr>
          <w:rFonts w:ascii="Calibri" w:hAnsi="Calibri" w:cs="Calibri"/>
          <w:sz w:val="22"/>
          <w:szCs w:val="22"/>
        </w:rPr>
        <w:t xml:space="preserve">El enfoque de esta gestión trascendió la mera ejecución técnica, priorizando la creación de valor a través de la </w:t>
      </w:r>
      <w:r>
        <w:rPr>
          <w:rStyle w:val="Fuerte"/>
          <w:rFonts w:ascii="Calibri" w:hAnsi="Calibri" w:cs="Calibri"/>
          <w:sz w:val="22"/>
          <w:szCs w:val="22"/>
        </w:rPr>
        <w:t>resolución proactiva de problemas complejos</w:t>
      </w:r>
      <w:r>
        <w:rPr>
          <w:rFonts w:ascii="Calibri" w:hAnsi="Calibri" w:cs="Calibri"/>
          <w:sz w:val="22"/>
          <w:szCs w:val="22"/>
        </w:rPr>
        <w:t xml:space="preserve">, la </w:t>
      </w:r>
      <w:r>
        <w:rPr>
          <w:rStyle w:val="Fuerte"/>
          <w:rFonts w:ascii="Calibri" w:hAnsi="Calibri" w:cs="Calibri"/>
          <w:sz w:val="22"/>
          <w:szCs w:val="22"/>
        </w:rPr>
        <w:t>optimización de recursos institucionales</w:t>
      </w:r>
      <w:r>
        <w:rPr>
          <w:rFonts w:ascii="Calibri" w:hAnsi="Calibri" w:cs="Calibri"/>
          <w:sz w:val="22"/>
          <w:szCs w:val="22"/>
        </w:rPr>
        <w:t xml:space="preserve">, la </w:t>
      </w:r>
      <w:r>
        <w:rPr>
          <w:rStyle w:val="Fuerte"/>
          <w:rFonts w:ascii="Calibri" w:hAnsi="Calibri" w:cs="Calibri"/>
          <w:sz w:val="22"/>
          <w:szCs w:val="22"/>
        </w:rPr>
        <w:t>garantía de cumplimiento normativo</w:t>
      </w:r>
      <w:r>
        <w:rPr>
          <w:rFonts w:ascii="Calibri" w:hAnsi="Calibri" w:cs="Calibri"/>
          <w:sz w:val="22"/>
          <w:szCs w:val="22"/>
        </w:rPr>
        <w:t xml:space="preserve"> y el </w:t>
      </w:r>
      <w:r>
        <w:rPr>
          <w:rStyle w:val="Fuerte"/>
          <w:rFonts w:ascii="Calibri" w:hAnsi="Calibri" w:cs="Calibri"/>
          <w:sz w:val="22"/>
          <w:szCs w:val="22"/>
        </w:rPr>
        <w:t>liderazgo en la transición tecnológica</w:t>
      </w:r>
      <w:r>
        <w:rPr>
          <w:rFonts w:ascii="Calibri" w:hAnsi="Calibri" w:cs="Calibri"/>
          <w:sz w:val="22"/>
          <w:szCs w:val="22"/>
        </w:rPr>
        <w:t>. Se entregan ecosistemas maduros, eficientes y alineados con los más altos estándares de calidad y gobernanza de la Secretaría.</w:t>
      </w:r>
    </w:p>
    <w:p w14:paraId="56747C61" w14:textId="77777777" w:rsidR="00B201E9" w:rsidRDefault="00B201E9">
      <w:pPr>
        <w:rPr>
          <w:rFonts w:ascii="Calibri" w:eastAsia="Times New Roman" w:hAnsi="Calibri" w:cs="Calibri"/>
        </w:rPr>
      </w:pPr>
      <w:r>
        <w:rPr>
          <w:rFonts w:ascii="Calibri" w:eastAsia="Times New Roman" w:hAnsi="Calibri" w:cs="Calibri"/>
        </w:rPr>
        <w:pict w14:anchorId="5382332F">
          <v:rect id="_x0000_i1026" style="width:0;height:1.5pt" o:hralign="center" o:hrstd="t" o:hr="t" fillcolor="#a0a0a0" stroked="f"/>
        </w:pict>
      </w:r>
    </w:p>
    <w:p w14:paraId="4DD489FA" w14:textId="77777777" w:rsidR="00B201E9" w:rsidRDefault="00B201E9">
      <w:pPr>
        <w:pStyle w:val="Ttulo2"/>
        <w:rPr>
          <w:rFonts w:ascii="Calibri" w:eastAsia="Times New Roman" w:hAnsi="Calibri" w:cs="Calibri"/>
        </w:rPr>
      </w:pPr>
      <w:r>
        <w:rPr>
          <w:rFonts w:ascii="Calibri" w:eastAsia="Times New Roman" w:hAnsi="Calibri" w:cs="Calibri"/>
        </w:rPr>
        <w:t>2. Competencias Demostradas y Logros Clave</w:t>
      </w:r>
    </w:p>
    <w:p w14:paraId="6DBE1582" w14:textId="77777777" w:rsidR="00B201E9" w:rsidRDefault="00B201E9">
      <w:pPr>
        <w:pStyle w:val="Ttulo3"/>
        <w:rPr>
          <w:rFonts w:ascii="Calibri" w:eastAsia="Times New Roman" w:hAnsi="Calibri" w:cs="Calibri"/>
        </w:rPr>
      </w:pPr>
      <w:r>
        <w:rPr>
          <w:rFonts w:ascii="Calibri" w:eastAsia="Times New Roman" w:hAnsi="Calibri" w:cs="Calibri"/>
        </w:rPr>
        <w:t>2.1 Liderazgo Tecnológico y Visión de Arquitectura</w:t>
      </w:r>
    </w:p>
    <w:p w14:paraId="304C0654" w14:textId="77777777" w:rsidR="00B201E9" w:rsidRDefault="00B201E9">
      <w:pPr>
        <w:pStyle w:val="NormalWeb"/>
        <w:rPr>
          <w:rFonts w:ascii="Calibri" w:hAnsi="Calibri" w:cs="Calibri"/>
          <w:sz w:val="22"/>
          <w:szCs w:val="22"/>
        </w:rPr>
      </w:pPr>
      <w:r>
        <w:rPr>
          <w:rFonts w:ascii="Calibri" w:hAnsi="Calibri" w:cs="Calibri"/>
          <w:sz w:val="22"/>
          <w:szCs w:val="22"/>
        </w:rPr>
        <w:t>Se detectó oportunamente que los sistemas heredados operaban bajo esquemas monolíticos que representaban riesgos de escalabilidad a futuro. Ejerciendo una visión estratégica:</w:t>
      </w:r>
    </w:p>
    <w:p w14:paraId="6F9B7FC8" w14:textId="77777777" w:rsidR="00B201E9" w:rsidRDefault="00B201E9" w:rsidP="00B201E9">
      <w:pPr>
        <w:numPr>
          <w:ilvl w:val="0"/>
          <w:numId w:val="13"/>
        </w:numPr>
        <w:spacing w:before="100" w:beforeAutospacing="1" w:after="100" w:afterAutospacing="1" w:line="240" w:lineRule="auto"/>
        <w:rPr>
          <w:rFonts w:ascii="Calibri" w:eastAsia="Times New Roman" w:hAnsi="Calibri" w:cs="Calibri"/>
        </w:rPr>
      </w:pPr>
      <w:r>
        <w:rPr>
          <w:rFonts w:ascii="Calibri" w:eastAsia="Times New Roman" w:hAnsi="Calibri" w:cs="Calibri"/>
        </w:rPr>
        <w:t>Se lideró la transición hacia arquitecturas modernas (Microservicios, FastAPI, Angular, React), garantizando la viabilidad de los sistemas a largo plazo.</w:t>
      </w:r>
    </w:p>
    <w:p w14:paraId="3B820F7F" w14:textId="77777777" w:rsidR="00B201E9" w:rsidRDefault="00B201E9" w:rsidP="00B201E9">
      <w:pPr>
        <w:numPr>
          <w:ilvl w:val="0"/>
          <w:numId w:val="13"/>
        </w:numPr>
        <w:spacing w:before="100" w:beforeAutospacing="1" w:after="100" w:afterAutospacing="1" w:line="240" w:lineRule="auto"/>
        <w:rPr>
          <w:rFonts w:ascii="Calibri" w:eastAsia="Times New Roman" w:hAnsi="Calibri" w:cs="Calibri"/>
        </w:rPr>
      </w:pPr>
      <w:r>
        <w:rPr>
          <w:rFonts w:ascii="Calibri" w:eastAsia="Times New Roman" w:hAnsi="Calibri" w:cs="Calibri"/>
        </w:rPr>
        <w:t>Se coordinó el rediseño de las bases de datos para soportar altos volúmenes de concurrencia, asegurando que la institución cuente con plataformas resilientes capaces de atender picos masivos de demanda sin degradación del servicio.</w:t>
      </w:r>
    </w:p>
    <w:p w14:paraId="07994E16" w14:textId="77777777" w:rsidR="00B201E9" w:rsidRDefault="00B201E9">
      <w:pPr>
        <w:pStyle w:val="Ttulo3"/>
        <w:rPr>
          <w:rFonts w:ascii="Calibri" w:eastAsia="Times New Roman" w:hAnsi="Calibri" w:cs="Calibri"/>
        </w:rPr>
      </w:pPr>
      <w:r>
        <w:rPr>
          <w:rFonts w:ascii="Calibri" w:eastAsia="Times New Roman" w:hAnsi="Calibri" w:cs="Calibri"/>
        </w:rPr>
        <w:t>2.2 Gestión de Riesgos y Cumplimiento Normativo (Compliance)</w:t>
      </w:r>
    </w:p>
    <w:p w14:paraId="1F555864" w14:textId="77777777" w:rsidR="00B201E9" w:rsidRDefault="00B201E9">
      <w:pPr>
        <w:pStyle w:val="NormalWeb"/>
        <w:rPr>
          <w:rFonts w:ascii="Calibri" w:hAnsi="Calibri" w:cs="Calibri"/>
          <w:sz w:val="22"/>
          <w:szCs w:val="22"/>
        </w:rPr>
      </w:pPr>
      <w:r>
        <w:rPr>
          <w:rFonts w:ascii="Calibri" w:hAnsi="Calibri" w:cs="Calibri"/>
          <w:sz w:val="22"/>
          <w:szCs w:val="22"/>
        </w:rPr>
        <w:t xml:space="preserve">La protección de la información sensible y el apego a la legalidad fueron pilares innegociables durante la ejecución de los proyectos. </w:t>
      </w:r>
    </w:p>
    <w:p w14:paraId="282CC939" w14:textId="77777777" w:rsidR="00B201E9" w:rsidRDefault="00B201E9" w:rsidP="00B201E9">
      <w:pPr>
        <w:numPr>
          <w:ilvl w:val="0"/>
          <w:numId w:val="14"/>
        </w:numPr>
        <w:spacing w:before="100" w:beforeAutospacing="1" w:after="100" w:afterAutospacing="1" w:line="240" w:lineRule="auto"/>
        <w:rPr>
          <w:rFonts w:ascii="Calibri" w:eastAsia="Times New Roman" w:hAnsi="Calibri" w:cs="Calibri"/>
        </w:rPr>
      </w:pPr>
      <w:r>
        <w:rPr>
          <w:rStyle w:val="Fuerte"/>
          <w:rFonts w:ascii="Calibri" w:eastAsia="Times New Roman" w:hAnsi="Calibri" w:cs="Calibri"/>
        </w:rPr>
        <w:t>Protección de Datos Personales:</w:t>
      </w:r>
      <w:r>
        <w:rPr>
          <w:rFonts w:ascii="Calibri" w:eastAsia="Times New Roman" w:hAnsi="Calibri" w:cs="Calibri"/>
        </w:rPr>
        <w:t xml:space="preserve"> Se identificaron y mitigaron proactivamente riesgos relacionados con el manejo de datos sensibles (LGPDPPSO), implementando algoritmos de enmascaramiento y transicionando hacia cifrados de grado militar (AES-256-GCM).</w:t>
      </w:r>
    </w:p>
    <w:p w14:paraId="593061D4" w14:textId="77777777" w:rsidR="00B201E9" w:rsidRDefault="00B201E9" w:rsidP="00B201E9">
      <w:pPr>
        <w:numPr>
          <w:ilvl w:val="0"/>
          <w:numId w:val="14"/>
        </w:numPr>
        <w:spacing w:before="100" w:beforeAutospacing="1" w:after="100" w:afterAutospacing="1" w:line="240" w:lineRule="auto"/>
        <w:rPr>
          <w:rFonts w:ascii="Calibri" w:eastAsia="Times New Roman" w:hAnsi="Calibri" w:cs="Calibri"/>
        </w:rPr>
      </w:pPr>
      <w:r>
        <w:rPr>
          <w:rStyle w:val="Fuerte"/>
          <w:rFonts w:ascii="Calibri" w:eastAsia="Times New Roman" w:hAnsi="Calibri" w:cs="Calibri"/>
        </w:rPr>
        <w:t>Gobernanza de Seguridad:</w:t>
      </w:r>
      <w:r>
        <w:rPr>
          <w:rFonts w:ascii="Calibri" w:eastAsia="Times New Roman" w:hAnsi="Calibri" w:cs="Calibri"/>
        </w:rPr>
        <w:t xml:space="preserve"> Se instauraron barreras automatizadas de auditoría (SAST/SCA) que garantizan que ningún código sea aprobado si no cumple con las políticas de cero vulnerabilidades. Esta cultura de "Seguridad desde el Diseño" (DevSecOps) blinda a la institución ante posibles contingencias.</w:t>
      </w:r>
    </w:p>
    <w:p w14:paraId="3025DEDA" w14:textId="77777777" w:rsidR="00B201E9" w:rsidRDefault="00B201E9">
      <w:pPr>
        <w:pStyle w:val="Ttulo3"/>
        <w:rPr>
          <w:rFonts w:ascii="Calibri" w:eastAsia="Times New Roman" w:hAnsi="Calibri" w:cs="Calibri"/>
        </w:rPr>
      </w:pPr>
      <w:r>
        <w:rPr>
          <w:rFonts w:ascii="Calibri" w:eastAsia="Times New Roman" w:hAnsi="Calibri" w:cs="Calibri"/>
        </w:rPr>
        <w:t>2.3 Innovación y Orientación a Resultados</w:t>
      </w:r>
    </w:p>
    <w:p w14:paraId="37E32D0F" w14:textId="77777777" w:rsidR="00B201E9" w:rsidRDefault="00B201E9">
      <w:pPr>
        <w:pStyle w:val="NormalWeb"/>
        <w:rPr>
          <w:rFonts w:ascii="Calibri" w:hAnsi="Calibri" w:cs="Calibri"/>
          <w:sz w:val="22"/>
          <w:szCs w:val="22"/>
        </w:rPr>
      </w:pPr>
      <w:r>
        <w:rPr>
          <w:rFonts w:ascii="Calibri" w:hAnsi="Calibri" w:cs="Calibri"/>
          <w:sz w:val="22"/>
          <w:szCs w:val="22"/>
        </w:rPr>
        <w:t>Frente a los retos de interoperabilidad con dependencias externas (ej. Web Services del IMSS), se aplicaron soluciones innovadoras enfocadas en la eficiencia operativa.</w:t>
      </w:r>
    </w:p>
    <w:p w14:paraId="21446674" w14:textId="77777777" w:rsidR="00B201E9" w:rsidRDefault="00B201E9" w:rsidP="00B201E9">
      <w:pPr>
        <w:numPr>
          <w:ilvl w:val="0"/>
          <w:numId w:val="15"/>
        </w:num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Se resolvieron bloqueos institucionales (como las restricciones de tráfico o WAF) diseñando algoritmos de *Rate Limiting* e hilos de procesamiento asíncrono, logrando </w:t>
      </w:r>
      <w:r>
        <w:rPr>
          <w:rStyle w:val="Fuerte"/>
          <w:rFonts w:ascii="Calibri" w:eastAsia="Times New Roman" w:hAnsi="Calibri" w:cs="Calibri"/>
        </w:rPr>
        <w:t>tasas de éxito superiores al 99%</w:t>
      </w:r>
      <w:r>
        <w:rPr>
          <w:rFonts w:ascii="Calibri" w:eastAsia="Times New Roman" w:hAnsi="Calibri" w:cs="Calibri"/>
        </w:rPr>
        <w:t xml:space="preserve"> en la descarga de expedientes.</w:t>
      </w:r>
    </w:p>
    <w:p w14:paraId="581B26FD" w14:textId="77777777" w:rsidR="00B201E9" w:rsidRDefault="00B201E9" w:rsidP="00B201E9">
      <w:pPr>
        <w:numPr>
          <w:ilvl w:val="0"/>
          <w:numId w:val="15"/>
        </w:numPr>
        <w:spacing w:before="100" w:beforeAutospacing="1" w:after="100" w:afterAutospacing="1" w:line="240" w:lineRule="auto"/>
        <w:rPr>
          <w:rFonts w:ascii="Calibri" w:eastAsia="Times New Roman" w:hAnsi="Calibri" w:cs="Calibri"/>
        </w:rPr>
      </w:pPr>
      <w:r>
        <w:rPr>
          <w:rFonts w:ascii="Calibri" w:eastAsia="Times New Roman" w:hAnsi="Calibri" w:cs="Calibri"/>
        </w:rPr>
        <w:t>Se entregó una solución que procesa grandes volúmenes de información en una fracción del tiempo original, optimizando drásticamente los recursos computacionales y humanos de la Secretaría.</w:t>
      </w:r>
    </w:p>
    <w:p w14:paraId="24B39041" w14:textId="77777777" w:rsidR="00B201E9" w:rsidRDefault="00B201E9">
      <w:pPr>
        <w:pStyle w:val="Ttulo3"/>
        <w:rPr>
          <w:rFonts w:ascii="Calibri" w:eastAsia="Times New Roman" w:hAnsi="Calibri" w:cs="Calibri"/>
        </w:rPr>
      </w:pPr>
      <w:r>
        <w:rPr>
          <w:rFonts w:ascii="Calibri" w:eastAsia="Times New Roman" w:hAnsi="Calibri" w:cs="Calibri"/>
        </w:rPr>
        <w:t>2.4 Mejora Continua y Estandarización de Procesos (CMMI)</w:t>
      </w:r>
    </w:p>
    <w:p w14:paraId="17B1C703" w14:textId="77777777" w:rsidR="00B201E9" w:rsidRDefault="00B201E9">
      <w:pPr>
        <w:pStyle w:val="NormalWeb"/>
        <w:rPr>
          <w:rFonts w:ascii="Calibri" w:hAnsi="Calibri" w:cs="Calibri"/>
          <w:sz w:val="22"/>
          <w:szCs w:val="22"/>
        </w:rPr>
      </w:pPr>
      <w:r>
        <w:rPr>
          <w:rFonts w:ascii="Calibri" w:hAnsi="Calibri" w:cs="Calibri"/>
          <w:sz w:val="22"/>
          <w:szCs w:val="22"/>
        </w:rPr>
        <w:t>Para asegurar que el valor generado perdure más allá de la gestión actual, se implementó una estrategia robusta de transferencia de conocimiento y automatización.</w:t>
      </w:r>
    </w:p>
    <w:p w14:paraId="1A2C76D0" w14:textId="77777777" w:rsidR="00B201E9" w:rsidRDefault="00B201E9" w:rsidP="00B201E9">
      <w:pPr>
        <w:numPr>
          <w:ilvl w:val="0"/>
          <w:numId w:val="16"/>
        </w:numPr>
        <w:spacing w:before="100" w:beforeAutospacing="1" w:after="100" w:afterAutospacing="1" w:line="240" w:lineRule="auto"/>
        <w:rPr>
          <w:rFonts w:ascii="Calibri" w:eastAsia="Times New Roman" w:hAnsi="Calibri" w:cs="Calibri"/>
        </w:rPr>
      </w:pPr>
      <w:r>
        <w:rPr>
          <w:rStyle w:val="Fuerte"/>
          <w:rFonts w:ascii="Calibri" w:eastAsia="Times New Roman" w:hAnsi="Calibri" w:cs="Calibri"/>
        </w:rPr>
        <w:t>Automatización Documental:</w:t>
      </w:r>
      <w:r>
        <w:rPr>
          <w:rFonts w:ascii="Calibri" w:eastAsia="Times New Roman" w:hAnsi="Calibri" w:cs="Calibri"/>
        </w:rPr>
        <w:t xml:space="preserve"> Se diseñaron flujos de trabajo (*pipelines*) que automatizan la generación de manuales técnicos y reportes gerenciales, eliminando el error humano y ahorrando cientos de horas de trabajo administrativo.</w:t>
      </w:r>
    </w:p>
    <w:p w14:paraId="36D6D04C" w14:textId="77777777" w:rsidR="00B201E9" w:rsidRDefault="00B201E9" w:rsidP="00B201E9">
      <w:pPr>
        <w:numPr>
          <w:ilvl w:val="0"/>
          <w:numId w:val="16"/>
        </w:numPr>
        <w:spacing w:before="100" w:beforeAutospacing="1" w:after="100" w:afterAutospacing="1" w:line="240" w:lineRule="auto"/>
        <w:rPr>
          <w:rFonts w:ascii="Calibri" w:eastAsia="Times New Roman" w:hAnsi="Calibri" w:cs="Calibri"/>
        </w:rPr>
      </w:pPr>
      <w:r>
        <w:rPr>
          <w:rStyle w:val="Fuerte"/>
          <w:rFonts w:ascii="Calibri" w:eastAsia="Times New Roman" w:hAnsi="Calibri" w:cs="Calibri"/>
        </w:rPr>
        <w:t>Trazabilidad Institucional:</w:t>
      </w:r>
      <w:r>
        <w:rPr>
          <w:rFonts w:ascii="Calibri" w:eastAsia="Times New Roman" w:hAnsi="Calibri" w:cs="Calibri"/>
        </w:rPr>
        <w:t xml:space="preserve"> Todo el trabajo fue mapeado y documentado bajo los estándares de calidad CMMI Nivel 3. Se entrega a la institución una matriz de rastreo perfecta que vincula cada requerimiento de negocio con su respectivo código y prueba de calidad, asegurando un *Handover* (transferencia) transparente y profesional.</w:t>
      </w:r>
    </w:p>
    <w:p w14:paraId="6A01B911" w14:textId="77777777" w:rsidR="00B201E9" w:rsidRDefault="00B201E9">
      <w:pPr>
        <w:rPr>
          <w:rFonts w:ascii="Calibri" w:eastAsia="Times New Roman" w:hAnsi="Calibri" w:cs="Calibri"/>
        </w:rPr>
      </w:pPr>
      <w:r>
        <w:rPr>
          <w:rFonts w:ascii="Calibri" w:eastAsia="Times New Roman" w:hAnsi="Calibri" w:cs="Calibri"/>
        </w:rPr>
        <w:pict w14:anchorId="44F26EC3">
          <v:rect id="_x0000_i1027" style="width:0;height:1.5pt" o:hralign="center" o:hrstd="t" o:hr="t" fillcolor="#a0a0a0" stroked="f"/>
        </w:pict>
      </w:r>
    </w:p>
    <w:p w14:paraId="5F25A9A0" w14:textId="77777777" w:rsidR="00B201E9" w:rsidRDefault="00B201E9">
      <w:pPr>
        <w:pStyle w:val="Ttulo2"/>
        <w:rPr>
          <w:rFonts w:ascii="Calibri" w:eastAsia="Times New Roman" w:hAnsi="Calibri" w:cs="Calibri"/>
        </w:rPr>
      </w:pPr>
      <w:r>
        <w:rPr>
          <w:rFonts w:ascii="Calibri" w:eastAsia="Times New Roman" w:hAnsi="Calibri" w:cs="Calibri"/>
        </w:rPr>
        <w:t>3. Impacto Institucional y Valor Generado</w:t>
      </w:r>
    </w:p>
    <w:p w14:paraId="42E940E8" w14:textId="77777777" w:rsidR="00B201E9" w:rsidRDefault="00B201E9">
      <w:pPr>
        <w:pStyle w:val="NormalWeb"/>
        <w:rPr>
          <w:rFonts w:ascii="Calibri" w:hAnsi="Calibri" w:cs="Calibri"/>
          <w:sz w:val="22"/>
          <w:szCs w:val="22"/>
        </w:rPr>
      </w:pPr>
      <w:r>
        <w:rPr>
          <w:rFonts w:ascii="Calibri" w:hAnsi="Calibri" w:cs="Calibri"/>
          <w:sz w:val="22"/>
          <w:szCs w:val="22"/>
        </w:rPr>
        <w:t>Las acciones lideradas durante este periodo se traducen en beneficios tangibles para la organización:</w:t>
      </w:r>
    </w:p>
    <w:p w14:paraId="096BDFB3" w14:textId="77777777" w:rsidR="00B201E9" w:rsidRDefault="00B201E9">
      <w:pPr>
        <w:pStyle w:val="NormalWeb"/>
        <w:rPr>
          <w:rFonts w:ascii="Calibri" w:hAnsi="Calibri" w:cs="Calibri"/>
          <w:sz w:val="22"/>
          <w:szCs w:val="22"/>
        </w:rPr>
      </w:pPr>
      <w:r>
        <w:rPr>
          <w:rFonts w:ascii="Calibri" w:hAnsi="Calibri" w:cs="Calibri"/>
          <w:sz w:val="22"/>
          <w:szCs w:val="22"/>
        </w:rPr>
        <w:t xml:space="preserve">1. </w:t>
      </w:r>
      <w:r>
        <w:rPr>
          <w:rStyle w:val="Fuerte"/>
          <w:rFonts w:ascii="Calibri" w:hAnsi="Calibri" w:cs="Calibri"/>
          <w:sz w:val="22"/>
          <w:szCs w:val="22"/>
        </w:rPr>
        <w:t>Eficiencia Operativa:</w:t>
      </w:r>
      <w:r>
        <w:rPr>
          <w:rFonts w:ascii="Calibri" w:hAnsi="Calibri" w:cs="Calibri"/>
          <w:sz w:val="22"/>
          <w:szCs w:val="22"/>
        </w:rPr>
        <w:t xml:space="preserve"> La automatización de procesos ETL y la modernización tecnológica redujeron significativamente el esfuerzo manual requerido por los analistas y operadores de la SEP.</w:t>
      </w:r>
    </w:p>
    <w:p w14:paraId="0A717A39" w14:textId="77777777" w:rsidR="00B201E9" w:rsidRDefault="00B201E9">
      <w:pPr>
        <w:pStyle w:val="NormalWeb"/>
        <w:rPr>
          <w:rFonts w:ascii="Calibri" w:hAnsi="Calibri" w:cs="Calibri"/>
          <w:sz w:val="22"/>
          <w:szCs w:val="22"/>
        </w:rPr>
      </w:pPr>
      <w:r>
        <w:rPr>
          <w:rFonts w:ascii="Calibri" w:hAnsi="Calibri" w:cs="Calibri"/>
          <w:sz w:val="22"/>
          <w:szCs w:val="22"/>
        </w:rPr>
        <w:t xml:space="preserve">2. </w:t>
      </w:r>
      <w:r>
        <w:rPr>
          <w:rStyle w:val="Fuerte"/>
          <w:rFonts w:ascii="Calibri" w:hAnsi="Calibri" w:cs="Calibri"/>
          <w:sz w:val="22"/>
          <w:szCs w:val="22"/>
        </w:rPr>
        <w:t>Mitigación de Pasivos:</w:t>
      </w:r>
      <w:r>
        <w:rPr>
          <w:rFonts w:ascii="Calibri" w:hAnsi="Calibri" w:cs="Calibri"/>
          <w:sz w:val="22"/>
          <w:szCs w:val="22"/>
        </w:rPr>
        <w:t xml:space="preserve"> Se erradicaron vulnerabilidades críticas de ciberseguridad, protegiendo la reputación institucional y previniendo posibles sanciones normativas.</w:t>
      </w:r>
    </w:p>
    <w:p w14:paraId="3E6A85EB" w14:textId="77777777" w:rsidR="00B201E9" w:rsidRDefault="00B201E9">
      <w:pPr>
        <w:pStyle w:val="NormalWeb"/>
        <w:rPr>
          <w:rFonts w:ascii="Calibri" w:hAnsi="Calibri" w:cs="Calibri"/>
          <w:sz w:val="22"/>
          <w:szCs w:val="22"/>
        </w:rPr>
      </w:pPr>
      <w:r>
        <w:rPr>
          <w:rFonts w:ascii="Calibri" w:hAnsi="Calibri" w:cs="Calibri"/>
          <w:sz w:val="22"/>
          <w:szCs w:val="22"/>
        </w:rPr>
        <w:t xml:space="preserve">3. </w:t>
      </w:r>
      <w:r>
        <w:rPr>
          <w:rStyle w:val="Fuerte"/>
          <w:rFonts w:ascii="Calibri" w:hAnsi="Calibri" w:cs="Calibri"/>
          <w:sz w:val="22"/>
          <w:szCs w:val="22"/>
        </w:rPr>
        <w:t>Escalabilidad Garantizada:</w:t>
      </w:r>
      <w:r>
        <w:rPr>
          <w:rFonts w:ascii="Calibri" w:hAnsi="Calibri" w:cs="Calibri"/>
          <w:sz w:val="22"/>
          <w:szCs w:val="22"/>
        </w:rPr>
        <w:t xml:space="preserve"> Las plataformas entregadas están diseñadas para soportar el crecimiento de los próximos ciclos escolares sin necesidad de re-inversiones tecnológicas mayores.</w:t>
      </w:r>
    </w:p>
    <w:p w14:paraId="17A05E77" w14:textId="77777777" w:rsidR="00B201E9" w:rsidRDefault="00B201E9">
      <w:pPr>
        <w:pStyle w:val="NormalWeb"/>
        <w:rPr>
          <w:rFonts w:ascii="Calibri" w:hAnsi="Calibri" w:cs="Calibri"/>
          <w:sz w:val="22"/>
          <w:szCs w:val="22"/>
        </w:rPr>
      </w:pPr>
      <w:r>
        <w:rPr>
          <w:rFonts w:ascii="Calibri" w:hAnsi="Calibri" w:cs="Calibri"/>
          <w:sz w:val="22"/>
          <w:szCs w:val="22"/>
        </w:rPr>
        <w:t xml:space="preserve">4. </w:t>
      </w:r>
      <w:r>
        <w:rPr>
          <w:rStyle w:val="Fuerte"/>
          <w:rFonts w:ascii="Calibri" w:hAnsi="Calibri" w:cs="Calibri"/>
          <w:sz w:val="22"/>
          <w:szCs w:val="22"/>
        </w:rPr>
        <w:t>Cultura de Calidad:</w:t>
      </w:r>
      <w:r>
        <w:rPr>
          <w:rFonts w:ascii="Calibri" w:hAnsi="Calibri" w:cs="Calibri"/>
          <w:sz w:val="22"/>
          <w:szCs w:val="22"/>
        </w:rPr>
        <w:t xml:space="preserve"> La adopción de estándares internacionales (CMMI) y revisiones automatizadas eleva el nivel de madurez de los procesos internos del área de TI.</w:t>
      </w:r>
    </w:p>
    <w:p w14:paraId="7E54C9C0" w14:textId="77777777" w:rsidR="00B201E9" w:rsidRDefault="00B201E9">
      <w:pPr>
        <w:rPr>
          <w:rFonts w:ascii="Calibri" w:eastAsia="Times New Roman" w:hAnsi="Calibri" w:cs="Calibri"/>
        </w:rPr>
      </w:pPr>
      <w:r>
        <w:rPr>
          <w:rFonts w:ascii="Calibri" w:eastAsia="Times New Roman" w:hAnsi="Calibri" w:cs="Calibri"/>
        </w:rPr>
        <w:pict w14:anchorId="238FFCC4">
          <v:rect id="_x0000_i1028" style="width:0;height:1.5pt" o:hralign="center" o:hrstd="t" o:hr="t" fillcolor="#a0a0a0" stroked="f"/>
        </w:pict>
      </w:r>
    </w:p>
    <w:p w14:paraId="15CCD8BE" w14:textId="77777777" w:rsidR="00B201E9" w:rsidRDefault="00B201E9">
      <w:pPr>
        <w:pStyle w:val="Ttulo2"/>
        <w:rPr>
          <w:rFonts w:ascii="Calibri" w:eastAsia="Times New Roman" w:hAnsi="Calibri" w:cs="Calibri"/>
        </w:rPr>
      </w:pPr>
      <w:r>
        <w:rPr>
          <w:rFonts w:ascii="Calibri" w:eastAsia="Times New Roman" w:hAnsi="Calibri" w:cs="Calibri"/>
        </w:rPr>
        <w:t>4. Conclusión del Ciclo</w:t>
      </w:r>
    </w:p>
    <w:p w14:paraId="6EA3AC97" w14:textId="77777777" w:rsidR="00B201E9" w:rsidRDefault="00B201E9">
      <w:pPr>
        <w:pStyle w:val="NormalWeb"/>
        <w:rPr>
          <w:rFonts w:ascii="Calibri" w:hAnsi="Calibri" w:cs="Calibri"/>
          <w:sz w:val="22"/>
          <w:szCs w:val="22"/>
        </w:rPr>
      </w:pPr>
      <w:r>
        <w:rPr>
          <w:rFonts w:ascii="Calibri" w:hAnsi="Calibri" w:cs="Calibri"/>
          <w:sz w:val="22"/>
          <w:szCs w:val="22"/>
        </w:rPr>
        <w:t>El cierre de este trimestre culmina con la entrega de soluciones tecnológicas que no solo cumplen con los requerimientos técnicos solicitados, sino que elevan el estándar operativo de la institución. La gestión se caracterizó por un fuerte sentido de responsabilidad, pensamiento analítico para la resolución de crisis, y una orientación inquebrantable hacia la excelencia organizacional, dejando un cimiento tecnológico sólido para las futuras administraciones de la SEP.</w:t>
      </w:r>
    </w:p>
    <w:p w14:paraId="356666F4" w14:textId="77777777" w:rsidR="00762984" w:rsidRPr="00762984" w:rsidRDefault="00762984" w:rsidP="00762984">
      <w:pPr>
        <w:rPr>
          <w:rFonts w:asciiTheme="minorHAnsi" w:hAnsiTheme="minorHAnsi"/>
          <w:color w:val="auto"/>
        </w:rPr>
      </w:pPr>
    </w:p>
    <w:p w14:paraId="34886560" w14:textId="77777777" w:rsidR="00762984" w:rsidRPr="00762984" w:rsidRDefault="00762984" w:rsidP="00762984">
      <w:pPr>
        <w:rPr>
          <w:rFonts w:asciiTheme="minorHAnsi" w:hAnsiTheme="minorHAnsi"/>
          <w:color w:val="auto"/>
        </w:rPr>
      </w:pPr>
    </w:p>
    <w:p w14:paraId="6FA5D955" w14:textId="77777777" w:rsidR="00762984" w:rsidRPr="00762984" w:rsidRDefault="00762984" w:rsidP="00762984">
      <w:pPr>
        <w:keepNext/>
        <w:keepLines/>
        <w:spacing w:before="200" w:after="0"/>
        <w:outlineLvl w:val="1"/>
        <w:rPr>
          <w:rFonts w:asciiTheme="majorHAnsi" w:eastAsiaTheme="majorEastAsia" w:hAnsiTheme="majorHAnsi" w:cstheme="majorBidi"/>
          <w:b/>
          <w:bCs/>
          <w:color w:val="4F81BD" w:themeColor="accent1"/>
          <w:sz w:val="26"/>
          <w:szCs w:val="26"/>
        </w:rPr>
      </w:pPr>
      <w:bookmarkStart w:id="0" w:name="_Toc217296775"/>
      <w:bookmarkStart w:id="1" w:name="_Toc219739752"/>
      <w:r w:rsidRPr="00762984">
        <w:rPr>
          <w:rFonts w:asciiTheme="majorHAnsi" w:eastAsiaTheme="majorEastAsia" w:hAnsiTheme="majorHAnsi" w:cstheme="majorBidi"/>
          <w:b/>
          <w:bCs/>
          <w:color w:val="4F81BD" w:themeColor="accent1"/>
          <w:sz w:val="26"/>
          <w:szCs w:val="26"/>
        </w:rPr>
        <w:t>8. Sección de firmas</w:t>
      </w:r>
      <w:bookmarkEnd w:id="0"/>
      <w:bookmarkEnd w:id="1"/>
    </w:p>
    <w:p w14:paraId="488F7A54" w14:textId="77777777" w:rsidR="00762984" w:rsidRPr="00762984" w:rsidRDefault="00762984" w:rsidP="00762984">
      <w:pPr>
        <w:rPr>
          <w:rFonts w:asciiTheme="minorHAnsi" w:hAnsiTheme="minorHAnsi"/>
          <w:color w:val="auto"/>
        </w:rPr>
      </w:pPr>
    </w:p>
    <w:p w14:paraId="4354CA72" w14:textId="77777777" w:rsidR="00762984" w:rsidRPr="00762984" w:rsidRDefault="00762984" w:rsidP="00762984">
      <w:pPr>
        <w:rPr>
          <w:rFonts w:ascii="Arial" w:hAnsi="Arial" w:cs="Arial"/>
          <w:color w:val="auto"/>
        </w:rPr>
      </w:pPr>
      <w:r w:rsidRPr="00762984">
        <w:rPr>
          <w:rFonts w:ascii="Arial" w:hAnsi="Arial" w:cs="Arial"/>
          <w:color w:val="auto"/>
        </w:rPr>
        <w:t>Tras la revisión del documento,</w:t>
      </w:r>
      <w:r w:rsidRPr="00762984">
        <w:rPr>
          <w:rFonts w:asciiTheme="minorHAnsi" w:hAnsiTheme="minorHAnsi"/>
          <w:color w:val="auto"/>
        </w:rPr>
        <w:t xml:space="preserve"> s</w:t>
      </w:r>
      <w:r w:rsidRPr="00762984">
        <w:rPr>
          <w:rFonts w:ascii="Arial" w:hAnsi="Arial" w:cs="Arial"/>
          <w:color w:val="auto"/>
        </w:rPr>
        <w:t>e presentan las firmas de elaboración y aprobación:</w:t>
      </w:r>
    </w:p>
    <w:p w14:paraId="1BADAD35" w14:textId="77777777" w:rsidR="00B614EE" w:rsidRDefault="00B614EE" w:rsidP="003B7A12">
      <w:pPr>
        <w:spacing w:line="360" w:lineRule="auto"/>
        <w:rPr>
          <w:rFonts w:ascii="Montserrat" w:hAnsi="Montserrat"/>
          <w:sz w:val="24"/>
          <w:szCs w:val="24"/>
        </w:rPr>
      </w:pPr>
    </w:p>
    <w:p w14:paraId="0A2D1410" w14:textId="77777777" w:rsidR="00B614EE" w:rsidRPr="003B7A12" w:rsidRDefault="00B614EE" w:rsidP="003B7A12">
      <w:pPr>
        <w:spacing w:line="360" w:lineRule="auto"/>
        <w:rPr>
          <w:rFonts w:ascii="Montserrat" w:hAnsi="Montserrat"/>
          <w:sz w:val="24"/>
          <w:szCs w:val="24"/>
        </w:rPr>
      </w:pPr>
    </w:p>
    <w:tbl>
      <w:tblPr>
        <w:tblStyle w:val="Tablaconcuadrcula"/>
        <w:tblW w:w="0" w:type="auto"/>
        <w:tblLook w:val="04A0" w:firstRow="1" w:lastRow="0" w:firstColumn="1" w:lastColumn="0" w:noHBand="0" w:noVBand="1"/>
      </w:tblPr>
      <w:tblGrid>
        <w:gridCol w:w="4719"/>
        <w:gridCol w:w="4631"/>
      </w:tblGrid>
      <w:tr w:rsidR="00C72784" w:rsidRPr="003B7A12" w14:paraId="1DCD0059" w14:textId="77777777" w:rsidTr="00E41D98">
        <w:trPr>
          <w:trHeight w:val="1410"/>
        </w:trPr>
        <w:tc>
          <w:tcPr>
            <w:tcW w:w="4675" w:type="dxa"/>
          </w:tcPr>
          <w:p w14:paraId="39E4F0BD" w14:textId="77777777" w:rsidR="00C72784" w:rsidRPr="003B7A12" w:rsidRDefault="00C72784" w:rsidP="003B7A12">
            <w:pPr>
              <w:spacing w:line="360" w:lineRule="auto"/>
              <w:rPr>
                <w:rFonts w:ascii="Montserrat" w:hAnsi="Montserrat"/>
                <w:sz w:val="24"/>
                <w:szCs w:val="24"/>
              </w:rPr>
            </w:pPr>
          </w:p>
        </w:tc>
        <w:tc>
          <w:tcPr>
            <w:tcW w:w="4675" w:type="dxa"/>
          </w:tcPr>
          <w:p w14:paraId="1EF450D0" w14:textId="77777777" w:rsidR="00C72784" w:rsidRPr="003B7A12" w:rsidRDefault="00C72784" w:rsidP="003B7A12">
            <w:pPr>
              <w:spacing w:line="360" w:lineRule="auto"/>
              <w:rPr>
                <w:rFonts w:ascii="Montserrat" w:hAnsi="Montserrat"/>
                <w:sz w:val="24"/>
                <w:szCs w:val="24"/>
              </w:rPr>
            </w:pPr>
          </w:p>
        </w:tc>
      </w:tr>
      <w:tr w:rsidR="00C72784" w:rsidRPr="003B7A12" w14:paraId="7D0815A2" w14:textId="77777777" w:rsidTr="00E41D98">
        <w:tc>
          <w:tcPr>
            <w:tcW w:w="4675" w:type="dxa"/>
          </w:tcPr>
          <w:p w14:paraId="5C93266E" w14:textId="38C4471D" w:rsidR="00C72784" w:rsidRPr="003B7A12" w:rsidRDefault="003A3A97" w:rsidP="003B7A12">
            <w:pPr>
              <w:spacing w:line="360" w:lineRule="auto"/>
              <w:jc w:val="center"/>
              <w:rPr>
                <w:rFonts w:ascii="Montserrat" w:hAnsi="Montserrat"/>
                <w:sz w:val="24"/>
                <w:szCs w:val="24"/>
              </w:rPr>
            </w:pPr>
            <w:r>
              <w:rPr>
                <w:rFonts w:ascii="Montserrat" w:hAnsi="Montserrat" w:cs="Noto Sans"/>
                <w:bCs/>
                <w:i/>
                <w:iCs/>
                <w:sz w:val="24"/>
                <w:szCs w:val="24"/>
              </w:rPr>
              <w:t xml:space="preserve">Victor </w:t>
            </w:r>
            <w:r w:rsidR="00055D65">
              <w:rPr>
                <w:rFonts w:ascii="Montserrat" w:hAnsi="Montserrat" w:cs="Noto Sans"/>
                <w:bCs/>
                <w:i/>
                <w:iCs/>
                <w:sz w:val="24"/>
                <w:szCs w:val="24"/>
              </w:rPr>
              <w:t>Lelo de Larrea Polanco</w:t>
            </w:r>
          </w:p>
        </w:tc>
        <w:tc>
          <w:tcPr>
            <w:tcW w:w="4675" w:type="dxa"/>
          </w:tcPr>
          <w:p w14:paraId="14362A79" w14:textId="77777777" w:rsidR="00C72784" w:rsidRPr="003B7A12" w:rsidRDefault="00C72784" w:rsidP="003B7A12">
            <w:pPr>
              <w:spacing w:line="360" w:lineRule="auto"/>
              <w:jc w:val="center"/>
              <w:rPr>
                <w:rFonts w:ascii="Montserrat" w:hAnsi="Montserrat"/>
                <w:sz w:val="24"/>
                <w:szCs w:val="24"/>
              </w:rPr>
            </w:pPr>
            <w:r w:rsidRPr="003B7A12">
              <w:rPr>
                <w:rFonts w:ascii="Montserrat" w:hAnsi="Montserrat" w:cs="Noto Sans"/>
                <w:bCs/>
                <w:i/>
                <w:sz w:val="24"/>
                <w:szCs w:val="24"/>
              </w:rPr>
              <w:t>David León Gómez</w:t>
            </w:r>
          </w:p>
        </w:tc>
      </w:tr>
      <w:tr w:rsidR="00C72784" w:rsidRPr="003B7A12" w14:paraId="4EFFA3A4" w14:textId="77777777" w:rsidTr="00E41D98">
        <w:tc>
          <w:tcPr>
            <w:tcW w:w="4675" w:type="dxa"/>
          </w:tcPr>
          <w:p w14:paraId="3A32D21A" w14:textId="77777777" w:rsidR="00C72784" w:rsidRPr="003B7A12" w:rsidRDefault="00C72784" w:rsidP="003B7A12">
            <w:pPr>
              <w:spacing w:line="360" w:lineRule="auto"/>
              <w:jc w:val="center"/>
              <w:rPr>
                <w:rFonts w:ascii="Montserrat" w:hAnsi="Montserrat"/>
                <w:sz w:val="24"/>
                <w:szCs w:val="24"/>
              </w:rPr>
            </w:pPr>
            <w:r w:rsidRPr="003B7A12">
              <w:rPr>
                <w:rFonts w:ascii="Montserrat" w:hAnsi="Montserrat" w:cs="Noto Sans"/>
                <w:bCs/>
                <w:i/>
                <w:sz w:val="24"/>
                <w:szCs w:val="24"/>
              </w:rPr>
              <w:t>Jefatura de departamento</w:t>
            </w:r>
          </w:p>
        </w:tc>
        <w:tc>
          <w:tcPr>
            <w:tcW w:w="4675" w:type="dxa"/>
          </w:tcPr>
          <w:p w14:paraId="4AB2F8CD" w14:textId="77777777" w:rsidR="00C72784" w:rsidRPr="003B7A12" w:rsidRDefault="00C72784" w:rsidP="003B7A12">
            <w:pPr>
              <w:spacing w:line="360" w:lineRule="auto"/>
              <w:jc w:val="center"/>
              <w:rPr>
                <w:rFonts w:ascii="Montserrat" w:hAnsi="Montserrat"/>
                <w:sz w:val="24"/>
                <w:szCs w:val="24"/>
              </w:rPr>
            </w:pPr>
            <w:r w:rsidRPr="003B7A12">
              <w:rPr>
                <w:rFonts w:ascii="Montserrat" w:hAnsi="Montserrat" w:cs="Noto Sans"/>
                <w:bCs/>
                <w:i/>
                <w:sz w:val="24"/>
                <w:szCs w:val="24"/>
              </w:rPr>
              <w:t>Subdirector de Área</w:t>
            </w:r>
          </w:p>
        </w:tc>
      </w:tr>
      <w:tr w:rsidR="00C72784" w:rsidRPr="003B7A12" w14:paraId="18A22D1F" w14:textId="77777777" w:rsidTr="00E41D98">
        <w:tc>
          <w:tcPr>
            <w:tcW w:w="4675" w:type="dxa"/>
          </w:tcPr>
          <w:p w14:paraId="4035BC3F" w14:textId="6EF73872" w:rsidR="00C72784" w:rsidRPr="003B7A12" w:rsidRDefault="000370F9" w:rsidP="003B7A12">
            <w:pPr>
              <w:spacing w:line="360" w:lineRule="auto"/>
              <w:jc w:val="center"/>
              <w:rPr>
                <w:rFonts w:ascii="Montserrat" w:hAnsi="Montserrat"/>
                <w:sz w:val="24"/>
                <w:szCs w:val="24"/>
              </w:rPr>
            </w:pPr>
            <w:r>
              <w:rPr>
                <w:rFonts w:ascii="Montserrat" w:hAnsi="Montserrat" w:cs="Noto Sans"/>
                <w:bCs/>
                <w:i/>
                <w:sz w:val="24"/>
                <w:szCs w:val="24"/>
              </w:rPr>
              <w:t>v</w:t>
            </w:r>
            <w:r w:rsidR="00055D65">
              <w:rPr>
                <w:rFonts w:ascii="Montserrat" w:hAnsi="Montserrat" w:cs="Noto Sans"/>
                <w:bCs/>
                <w:i/>
                <w:sz w:val="24"/>
                <w:szCs w:val="24"/>
              </w:rPr>
              <w:t>ictor.lelodelarrea</w:t>
            </w:r>
            <w:r w:rsidR="00C72784" w:rsidRPr="003B7A12">
              <w:rPr>
                <w:rFonts w:ascii="Montserrat" w:hAnsi="Montserrat" w:cs="Noto Sans"/>
                <w:bCs/>
                <w:i/>
                <w:sz w:val="24"/>
                <w:szCs w:val="24"/>
              </w:rPr>
              <w:t>@nube.sep.gob.mx</w:t>
            </w:r>
          </w:p>
        </w:tc>
        <w:tc>
          <w:tcPr>
            <w:tcW w:w="4675" w:type="dxa"/>
          </w:tcPr>
          <w:p w14:paraId="6883856A" w14:textId="77777777" w:rsidR="00C72784" w:rsidRPr="003B7A12" w:rsidRDefault="00C72784" w:rsidP="003B7A12">
            <w:pPr>
              <w:spacing w:line="360" w:lineRule="auto"/>
              <w:jc w:val="center"/>
              <w:rPr>
                <w:rFonts w:ascii="Montserrat" w:hAnsi="Montserrat"/>
                <w:sz w:val="24"/>
                <w:szCs w:val="24"/>
              </w:rPr>
            </w:pPr>
            <w:r w:rsidRPr="003B7A12">
              <w:rPr>
                <w:rFonts w:ascii="Montserrat" w:hAnsi="Montserrat" w:cs="Noto Sans"/>
                <w:bCs/>
                <w:i/>
                <w:sz w:val="24"/>
                <w:szCs w:val="24"/>
              </w:rPr>
              <w:t>david.leon@nube.sep.gob.mx</w:t>
            </w:r>
          </w:p>
        </w:tc>
      </w:tr>
      <w:tr w:rsidR="00C72784" w:rsidRPr="003B7A12" w14:paraId="0E84DC51" w14:textId="77777777" w:rsidTr="00E41D98">
        <w:tc>
          <w:tcPr>
            <w:tcW w:w="4675" w:type="dxa"/>
          </w:tcPr>
          <w:p w14:paraId="20A9AA2C" w14:textId="77777777" w:rsidR="00C72784" w:rsidRPr="003B7A12" w:rsidRDefault="00C72784" w:rsidP="003B7A12">
            <w:pPr>
              <w:spacing w:line="360" w:lineRule="auto"/>
              <w:jc w:val="center"/>
              <w:rPr>
                <w:rFonts w:ascii="Montserrat" w:hAnsi="Montserrat"/>
                <w:sz w:val="24"/>
                <w:szCs w:val="24"/>
              </w:rPr>
            </w:pPr>
          </w:p>
        </w:tc>
        <w:tc>
          <w:tcPr>
            <w:tcW w:w="4675" w:type="dxa"/>
          </w:tcPr>
          <w:p w14:paraId="27F21E65" w14:textId="77777777" w:rsidR="00C72784" w:rsidRPr="003B7A12" w:rsidRDefault="00C72784" w:rsidP="003B7A12">
            <w:pPr>
              <w:spacing w:line="360" w:lineRule="auto"/>
              <w:jc w:val="center"/>
              <w:rPr>
                <w:rFonts w:ascii="Montserrat" w:hAnsi="Montserrat"/>
                <w:sz w:val="24"/>
                <w:szCs w:val="24"/>
              </w:rPr>
            </w:pPr>
            <w:r w:rsidRPr="003B7A12">
              <w:rPr>
                <w:rFonts w:ascii="Montserrat" w:hAnsi="Montserrat" w:cs="Noto Sans"/>
                <w:bCs/>
                <w:i/>
                <w:sz w:val="24"/>
                <w:szCs w:val="24"/>
              </w:rPr>
              <w:t>55917</w:t>
            </w:r>
          </w:p>
        </w:tc>
      </w:tr>
      <w:tr w:rsidR="00C72784" w:rsidRPr="003B7A12" w14:paraId="7419E76D" w14:textId="77777777" w:rsidTr="00E41D98">
        <w:trPr>
          <w:trHeight w:val="382"/>
        </w:trPr>
        <w:tc>
          <w:tcPr>
            <w:tcW w:w="4675" w:type="dxa"/>
          </w:tcPr>
          <w:p w14:paraId="1A04B7D1" w14:textId="77777777" w:rsidR="00C72784" w:rsidRPr="003B7A12" w:rsidRDefault="00C72784" w:rsidP="003B7A12">
            <w:pPr>
              <w:spacing w:line="360" w:lineRule="auto"/>
              <w:jc w:val="center"/>
              <w:rPr>
                <w:rFonts w:ascii="Montserrat" w:hAnsi="Montserrat"/>
                <w:sz w:val="24"/>
                <w:szCs w:val="24"/>
              </w:rPr>
            </w:pPr>
            <w:r w:rsidRPr="003B7A12">
              <w:rPr>
                <w:rFonts w:ascii="Montserrat" w:hAnsi="Montserrat" w:cs="Noto Sans"/>
                <w:b/>
                <w:sz w:val="24"/>
                <w:szCs w:val="24"/>
              </w:rPr>
              <w:t>ELABORÓ</w:t>
            </w:r>
          </w:p>
        </w:tc>
        <w:tc>
          <w:tcPr>
            <w:tcW w:w="4675" w:type="dxa"/>
          </w:tcPr>
          <w:p w14:paraId="420C7CBB" w14:textId="77777777" w:rsidR="00C72784" w:rsidRPr="003B7A12" w:rsidRDefault="00C72784" w:rsidP="003B7A12">
            <w:pPr>
              <w:spacing w:line="360" w:lineRule="auto"/>
              <w:jc w:val="center"/>
              <w:rPr>
                <w:rFonts w:ascii="Montserrat" w:hAnsi="Montserrat"/>
                <w:sz w:val="24"/>
                <w:szCs w:val="24"/>
              </w:rPr>
            </w:pPr>
            <w:r w:rsidRPr="003B7A12">
              <w:rPr>
                <w:rFonts w:ascii="Montserrat" w:hAnsi="Montserrat" w:cs="Noto Sans"/>
                <w:b/>
                <w:sz w:val="24"/>
                <w:szCs w:val="24"/>
              </w:rPr>
              <w:t>REVISÓ</w:t>
            </w:r>
          </w:p>
        </w:tc>
      </w:tr>
    </w:tbl>
    <w:p w14:paraId="4D1E6F4D" w14:textId="77777777" w:rsidR="00281FCA" w:rsidRPr="003B7A12" w:rsidRDefault="00281FCA" w:rsidP="003B7A12">
      <w:pPr>
        <w:spacing w:line="360" w:lineRule="auto"/>
        <w:rPr>
          <w:rFonts w:ascii="Montserrat" w:hAnsi="Montserrat"/>
          <w:sz w:val="24"/>
          <w:szCs w:val="24"/>
        </w:rPr>
      </w:pPr>
    </w:p>
    <w:sectPr w:rsidR="00281FCA" w:rsidRPr="003B7A12" w:rsidSect="007F0EDD">
      <w:headerReference w:type="default" r:id="rId8"/>
      <w:footerReference w:type="default" r:id="rId9"/>
      <w:pgSz w:w="12240" w:h="15840"/>
      <w:pgMar w:top="2268" w:right="1440" w:bottom="2269"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BA6A4" w14:textId="77777777" w:rsidR="001B2A5E" w:rsidRPr="003A5DB2" w:rsidRDefault="001B2A5E" w:rsidP="00997E2E">
      <w:r w:rsidRPr="003A5DB2">
        <w:separator/>
      </w:r>
    </w:p>
  </w:endnote>
  <w:endnote w:type="continuationSeparator" w:id="0">
    <w:p w14:paraId="64F3EB92" w14:textId="77777777" w:rsidR="001B2A5E" w:rsidRPr="003A5DB2" w:rsidRDefault="001B2A5E" w:rsidP="00997E2E">
      <w:r w:rsidRPr="003A5DB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ontserrat">
    <w:charset w:val="00"/>
    <w:family w:val="auto"/>
    <w:pitch w:val="variable"/>
    <w:sig w:usb0="2000020F" w:usb1="00000003" w:usb2="00000000" w:usb3="00000000" w:csb0="00000197" w:csb1="00000000"/>
  </w:font>
  <w:font w:name="Montserrat Black">
    <w:charset w:val="00"/>
    <w:family w:val="auto"/>
    <w:pitch w:val="variable"/>
    <w:sig w:usb0="2000020F" w:usb1="00000003" w:usb2="00000000" w:usb3="00000000" w:csb0="00000197" w:csb1="00000000"/>
  </w:font>
  <w:font w:name="Courier">
    <w:panose1 w:val="02070409020205020404"/>
    <w:charset w:val="00"/>
    <w:family w:val="auto"/>
    <w:pitch w:val="variable"/>
    <w:sig w:usb0="00000003" w:usb1="00000000" w:usb2="00000000" w:usb3="00000000" w:csb0="00000001" w:csb1="00000000"/>
  </w:font>
  <w:font w:name="Noto Sans">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C323D" w14:textId="14FB6C4A" w:rsidR="00997E2E" w:rsidRPr="003A5DB2" w:rsidRDefault="007B7E00" w:rsidP="007F0EDD">
    <w:pPr>
      <w:pStyle w:val="Encabezado"/>
      <w:ind w:right="474"/>
      <w:rPr>
        <w:rFonts w:ascii="Noto Sans" w:hAnsi="Noto Sans" w:cs="Noto Sans"/>
        <w:sz w:val="18"/>
        <w:szCs w:val="18"/>
      </w:rPr>
    </w:pPr>
    <w:bookmarkStart w:id="2" w:name="_Hlk195261366"/>
    <w:bookmarkStart w:id="3" w:name="_Hlk195261367"/>
    <w:r w:rsidRPr="003A5DB2">
      <w:rPr>
        <w:rFonts w:ascii="Noto Sans" w:hAnsi="Noto Sans" w:cs="Noto Sans"/>
        <w:sz w:val="18"/>
        <w:szCs w:val="18"/>
      </w:rPr>
      <w:t xml:space="preserve">Página </w:t>
    </w:r>
    <w:r w:rsidRPr="003A5DB2">
      <w:rPr>
        <w:rFonts w:ascii="Noto Sans" w:hAnsi="Noto Sans" w:cs="Noto Sans"/>
        <w:b/>
        <w:bCs/>
        <w:sz w:val="18"/>
        <w:szCs w:val="18"/>
      </w:rPr>
      <w:fldChar w:fldCharType="begin"/>
    </w:r>
    <w:r w:rsidRPr="003A5DB2">
      <w:rPr>
        <w:rFonts w:ascii="Noto Sans" w:hAnsi="Noto Sans" w:cs="Noto Sans"/>
        <w:b/>
        <w:bCs/>
        <w:sz w:val="18"/>
        <w:szCs w:val="18"/>
      </w:rPr>
      <w:instrText>PAGE  \* Arabic  \* MERGEFORMAT</w:instrText>
    </w:r>
    <w:r w:rsidRPr="003A5DB2">
      <w:rPr>
        <w:rFonts w:ascii="Noto Sans" w:hAnsi="Noto Sans" w:cs="Noto Sans"/>
        <w:b/>
        <w:bCs/>
        <w:sz w:val="18"/>
        <w:szCs w:val="18"/>
      </w:rPr>
      <w:fldChar w:fldCharType="separate"/>
    </w:r>
    <w:r w:rsidRPr="003A5DB2">
      <w:rPr>
        <w:rFonts w:ascii="Noto Sans" w:hAnsi="Noto Sans" w:cs="Noto Sans"/>
        <w:b/>
        <w:bCs/>
        <w:sz w:val="18"/>
        <w:szCs w:val="18"/>
      </w:rPr>
      <w:t>1</w:t>
    </w:r>
    <w:r w:rsidRPr="003A5DB2">
      <w:rPr>
        <w:rFonts w:ascii="Noto Sans" w:hAnsi="Noto Sans" w:cs="Noto Sans"/>
        <w:b/>
        <w:bCs/>
        <w:sz w:val="18"/>
        <w:szCs w:val="18"/>
      </w:rPr>
      <w:fldChar w:fldCharType="end"/>
    </w:r>
    <w:r w:rsidRPr="003A5DB2">
      <w:rPr>
        <w:rFonts w:ascii="Noto Sans" w:hAnsi="Noto Sans" w:cs="Noto Sans"/>
        <w:sz w:val="18"/>
        <w:szCs w:val="18"/>
      </w:rPr>
      <w:t xml:space="preserve"> de </w:t>
    </w:r>
    <w:r w:rsidRPr="003A5DB2">
      <w:rPr>
        <w:rFonts w:ascii="Noto Sans" w:hAnsi="Noto Sans" w:cs="Noto Sans"/>
        <w:b/>
        <w:bCs/>
        <w:sz w:val="18"/>
        <w:szCs w:val="18"/>
      </w:rPr>
      <w:fldChar w:fldCharType="begin"/>
    </w:r>
    <w:r w:rsidRPr="003A5DB2">
      <w:rPr>
        <w:rFonts w:ascii="Noto Sans" w:hAnsi="Noto Sans" w:cs="Noto Sans"/>
        <w:b/>
        <w:bCs/>
        <w:sz w:val="18"/>
        <w:szCs w:val="18"/>
      </w:rPr>
      <w:instrText>NUMPAGES  \* Arabic  \* MERGEFORMAT</w:instrText>
    </w:r>
    <w:r w:rsidRPr="003A5DB2">
      <w:rPr>
        <w:rFonts w:ascii="Noto Sans" w:hAnsi="Noto Sans" w:cs="Noto Sans"/>
        <w:b/>
        <w:bCs/>
        <w:sz w:val="18"/>
        <w:szCs w:val="18"/>
      </w:rPr>
      <w:fldChar w:fldCharType="separate"/>
    </w:r>
    <w:r w:rsidRPr="003A5DB2">
      <w:rPr>
        <w:rFonts w:ascii="Noto Sans" w:hAnsi="Noto Sans" w:cs="Noto Sans"/>
        <w:b/>
        <w:bCs/>
        <w:sz w:val="18"/>
        <w:szCs w:val="18"/>
      </w:rPr>
      <w:t>2</w:t>
    </w:r>
    <w:r w:rsidRPr="003A5DB2">
      <w:rPr>
        <w:rFonts w:ascii="Noto Sans" w:hAnsi="Noto Sans" w:cs="Noto Sans"/>
        <w:b/>
        <w:bCs/>
        <w:sz w:val="18"/>
        <w:szCs w:val="18"/>
      </w:rPr>
      <w:fldChar w:fldCharType="end"/>
    </w:r>
    <w:r w:rsidR="00997E2E" w:rsidRPr="003A5DB2">
      <w:rPr>
        <w:rFonts w:ascii="Noto Sans" w:hAnsi="Noto Sans" w:cs="Noto Sans"/>
        <w:noProof/>
        <w:sz w:val="18"/>
        <w:szCs w:val="18"/>
      </w:rPr>
      <w:drawing>
        <wp:anchor distT="0" distB="0" distL="114300" distR="114300" simplePos="0" relativeHeight="251659776" behindDoc="1" locked="0" layoutInCell="1" allowOverlap="1" wp14:anchorId="7AF39D1A" wp14:editId="5FCF7196">
          <wp:simplePos x="0" y="0"/>
          <wp:positionH relativeFrom="column">
            <wp:posOffset>-948055</wp:posOffset>
          </wp:positionH>
          <wp:positionV relativeFrom="paragraph">
            <wp:posOffset>-254635</wp:posOffset>
          </wp:positionV>
          <wp:extent cx="7838208" cy="1421437"/>
          <wp:effectExtent l="0" t="0" r="0" b="7620"/>
          <wp:wrapNone/>
          <wp:docPr id="211865806" name="Imagen 2" descr="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78927" name="Imagen 2" descr="Patrón de fond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38208" cy="142143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5FFF8C" w14:textId="77777777" w:rsidR="00997E2E" w:rsidRPr="003A5DB2" w:rsidRDefault="00997E2E" w:rsidP="00997E2E">
    <w:pPr>
      <w:pStyle w:val="Encabezado"/>
      <w:ind w:right="474"/>
      <w:jc w:val="right"/>
      <w:rPr>
        <w:rFonts w:ascii="Noto Sans" w:hAnsi="Noto Sans" w:cs="Noto Sans"/>
        <w:sz w:val="18"/>
        <w:szCs w:val="18"/>
      </w:rPr>
    </w:pPr>
  </w:p>
  <w:p w14:paraId="3D3E01B5" w14:textId="06503723" w:rsidR="00997E2E" w:rsidRPr="003A5DB2" w:rsidRDefault="00997E2E" w:rsidP="007F0EDD">
    <w:pPr>
      <w:pStyle w:val="Encabezado"/>
      <w:ind w:right="474"/>
      <w:jc w:val="right"/>
      <w:rPr>
        <w:rFonts w:ascii="Noto Sans" w:hAnsi="Noto Sans" w:cs="Noto Sans"/>
        <w:sz w:val="18"/>
        <w:szCs w:val="18"/>
      </w:rPr>
    </w:pPr>
    <w:r w:rsidRPr="003A5DB2">
      <w:rPr>
        <w:rFonts w:ascii="Noto Sans" w:hAnsi="Noto Sans" w:cs="Noto Sans"/>
        <w:sz w:val="18"/>
        <w:szCs w:val="18"/>
      </w:rPr>
      <w:t>Unidad de Administración y Finanzas</w:t>
    </w:r>
    <w:r w:rsidRPr="003A5DB2">
      <w:rPr>
        <w:rFonts w:ascii="Noto Sans" w:hAnsi="Noto Sans" w:cs="Noto Sans"/>
        <w:sz w:val="18"/>
        <w:szCs w:val="18"/>
      </w:rPr>
      <w:tab/>
    </w:r>
  </w:p>
  <w:p w14:paraId="0ED43F25" w14:textId="253CB4DD" w:rsidR="00997E2E" w:rsidRPr="003A5DB2" w:rsidRDefault="00997E2E" w:rsidP="007F0EDD">
    <w:pPr>
      <w:pStyle w:val="Encabezado"/>
      <w:ind w:right="474"/>
      <w:jc w:val="right"/>
      <w:rPr>
        <w:rFonts w:ascii="Noto Sans" w:hAnsi="Noto Sans" w:cs="Noto Sans"/>
        <w:sz w:val="18"/>
        <w:szCs w:val="18"/>
      </w:rPr>
    </w:pPr>
    <w:r w:rsidRPr="003A5DB2">
      <w:rPr>
        <w:rFonts w:ascii="Noto Sans" w:hAnsi="Noto Sans" w:cs="Noto Sans"/>
        <w:sz w:val="18"/>
        <w:szCs w:val="18"/>
      </w:rPr>
      <w:t>Dirección General de Tecnologías de</w:t>
    </w:r>
    <w:r w:rsidRPr="003A5DB2">
      <w:rPr>
        <w:rFonts w:ascii="Noto Sans" w:hAnsi="Noto Sans" w:cs="Noto Sans"/>
        <w:sz w:val="18"/>
        <w:szCs w:val="18"/>
      </w:rPr>
      <w:tab/>
      <w:t xml:space="preserve"> </w:t>
    </w:r>
  </w:p>
  <w:p w14:paraId="7F871F5E" w14:textId="224A0ED0" w:rsidR="00997E2E" w:rsidRPr="003A5DB2" w:rsidRDefault="00997E2E" w:rsidP="007F0EDD">
    <w:pPr>
      <w:pStyle w:val="Encabezado"/>
      <w:ind w:right="474"/>
      <w:jc w:val="right"/>
      <w:rPr>
        <w:rFonts w:ascii="Noto Sans" w:hAnsi="Noto Sans" w:cs="Noto Sans"/>
        <w:sz w:val="18"/>
        <w:szCs w:val="18"/>
      </w:rPr>
    </w:pPr>
    <w:r w:rsidRPr="003A5DB2">
      <w:rPr>
        <w:rFonts w:ascii="Noto Sans" w:hAnsi="Noto Sans" w:cs="Noto Sans"/>
        <w:sz w:val="18"/>
        <w:szCs w:val="18"/>
      </w:rPr>
      <w:t>la Información y Comunicaciones</w:t>
    </w:r>
    <w:r w:rsidRPr="003A5DB2">
      <w:rPr>
        <w:rFonts w:ascii="Noto Sans" w:hAnsi="Noto Sans" w:cs="Noto Sans"/>
        <w:sz w:val="18"/>
        <w:szCs w:val="18"/>
      </w:rPr>
      <w:tab/>
    </w:r>
  </w:p>
  <w:bookmarkEnd w:id="2"/>
  <w:bookmarkEnd w:id="3"/>
  <w:p w14:paraId="7DCB4A70" w14:textId="77777777" w:rsidR="00997E2E" w:rsidRPr="003A5DB2" w:rsidRDefault="00997E2E" w:rsidP="00997E2E">
    <w:pPr>
      <w:pStyle w:val="Encabezado"/>
      <w:ind w:right="474"/>
      <w:jc w:val="right"/>
    </w:pPr>
  </w:p>
  <w:p w14:paraId="370C7DA8" w14:textId="7BBD45B3" w:rsidR="00E42075" w:rsidRPr="003A5DB2" w:rsidRDefault="00E42075" w:rsidP="00997E2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BDFC4" w14:textId="77777777" w:rsidR="001B2A5E" w:rsidRPr="003A5DB2" w:rsidRDefault="001B2A5E" w:rsidP="00997E2E">
      <w:r w:rsidRPr="003A5DB2">
        <w:separator/>
      </w:r>
    </w:p>
  </w:footnote>
  <w:footnote w:type="continuationSeparator" w:id="0">
    <w:p w14:paraId="1C15A824" w14:textId="77777777" w:rsidR="001B2A5E" w:rsidRPr="003A5DB2" w:rsidRDefault="001B2A5E" w:rsidP="00997E2E">
      <w:r w:rsidRPr="003A5DB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EFA5C" w14:textId="77777777" w:rsidR="00997E2E" w:rsidRPr="003A5DB2" w:rsidRDefault="00997E2E" w:rsidP="00997E2E">
    <w:pPr>
      <w:pStyle w:val="Encabezado"/>
    </w:pPr>
    <w:r w:rsidRPr="003A5DB2">
      <w:rPr>
        <w:noProof/>
      </w:rPr>
      <w:drawing>
        <wp:anchor distT="0" distB="0" distL="114300" distR="114300" simplePos="0" relativeHeight="251657728" behindDoc="1" locked="0" layoutInCell="1" allowOverlap="1" wp14:anchorId="7FF4A81D" wp14:editId="7838572A">
          <wp:simplePos x="0" y="0"/>
          <wp:positionH relativeFrom="column">
            <wp:posOffset>-1200150</wp:posOffset>
          </wp:positionH>
          <wp:positionV relativeFrom="paragraph">
            <wp:posOffset>-457201</wp:posOffset>
          </wp:positionV>
          <wp:extent cx="8141154" cy="1476375"/>
          <wp:effectExtent l="0" t="0" r="0" b="0"/>
          <wp:wrapNone/>
          <wp:docPr id="54135313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66110" cy="14990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A7A3B8" w14:textId="751E94E5" w:rsidR="00997E2E" w:rsidRPr="003A5DB2" w:rsidRDefault="00997E2E" w:rsidP="00997E2E">
    <w:pPr>
      <w:pStyle w:val="Encabezado"/>
      <w:jc w:val="right"/>
    </w:pPr>
    <w:r w:rsidRPr="003A5DB2">
      <w:t>Unidad de Administración y Finanzas</w:t>
    </w:r>
    <w:r w:rsidRPr="003A5DB2">
      <w:tab/>
    </w:r>
  </w:p>
  <w:p w14:paraId="7E408CE7" w14:textId="31431E63" w:rsidR="00997E2E" w:rsidRPr="003A5DB2" w:rsidRDefault="00997E2E" w:rsidP="00997E2E">
    <w:pPr>
      <w:pStyle w:val="Encabezado"/>
      <w:jc w:val="right"/>
    </w:pPr>
    <w:r w:rsidRPr="003A5DB2">
      <w:t>Dirección General de Tecnologías de</w:t>
    </w:r>
    <w:r w:rsidRPr="003A5DB2">
      <w:tab/>
      <w:t xml:space="preserve"> </w:t>
    </w:r>
  </w:p>
  <w:p w14:paraId="0D6A6991" w14:textId="76F185EB" w:rsidR="00997E2E" w:rsidRPr="003A5DB2" w:rsidRDefault="00997E2E" w:rsidP="00997E2E">
    <w:pPr>
      <w:pStyle w:val="Encabezado"/>
      <w:jc w:val="right"/>
    </w:pPr>
    <w:r w:rsidRPr="003A5DB2">
      <w:t>la Información y Comunicaciones</w:t>
    </w:r>
    <w:r w:rsidRPr="003A5DB2">
      <w:tab/>
    </w:r>
  </w:p>
  <w:p w14:paraId="466085AA" w14:textId="77777777" w:rsidR="00997E2E" w:rsidRPr="003A5DB2" w:rsidRDefault="00997E2E" w:rsidP="00997E2E">
    <w:pPr>
      <w:pStyle w:val="Encabezado"/>
    </w:pPr>
  </w:p>
  <w:p w14:paraId="57844811" w14:textId="77777777" w:rsidR="00997E2E" w:rsidRPr="003A5DB2" w:rsidRDefault="00997E2E" w:rsidP="00997E2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3"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4"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5"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6"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7" w15:restartNumberingAfterBreak="0">
    <w:nsid w:val="02CA2BA5"/>
    <w:multiLevelType w:val="multilevel"/>
    <w:tmpl w:val="0DEC7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A24D95"/>
    <w:multiLevelType w:val="hybridMultilevel"/>
    <w:tmpl w:val="0EDC77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19E6A5F"/>
    <w:multiLevelType w:val="multilevel"/>
    <w:tmpl w:val="0130D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C349ED"/>
    <w:multiLevelType w:val="multilevel"/>
    <w:tmpl w:val="94D8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FF771F"/>
    <w:multiLevelType w:val="hybridMultilevel"/>
    <w:tmpl w:val="660C78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52D74056"/>
    <w:multiLevelType w:val="hybridMultilevel"/>
    <w:tmpl w:val="F8E884D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53C20551"/>
    <w:multiLevelType w:val="hybridMultilevel"/>
    <w:tmpl w:val="9EBC212E"/>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578967C3"/>
    <w:multiLevelType w:val="multilevel"/>
    <w:tmpl w:val="760A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41338B"/>
    <w:multiLevelType w:val="multilevel"/>
    <w:tmpl w:val="0EF4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1797777">
    <w:abstractNumId w:val="6"/>
  </w:num>
  <w:num w:numId="2" w16cid:durableId="2103646062">
    <w:abstractNumId w:val="4"/>
  </w:num>
  <w:num w:numId="3" w16cid:durableId="441605867">
    <w:abstractNumId w:val="3"/>
  </w:num>
  <w:num w:numId="4" w16cid:durableId="1048606953">
    <w:abstractNumId w:val="5"/>
  </w:num>
  <w:num w:numId="5" w16cid:durableId="658462606">
    <w:abstractNumId w:val="1"/>
  </w:num>
  <w:num w:numId="6" w16cid:durableId="1449011546">
    <w:abstractNumId w:val="0"/>
  </w:num>
  <w:num w:numId="7" w16cid:durableId="767509364">
    <w:abstractNumId w:val="12"/>
  </w:num>
  <w:num w:numId="8" w16cid:durableId="1187519976">
    <w:abstractNumId w:val="8"/>
  </w:num>
  <w:num w:numId="9" w16cid:durableId="774518276">
    <w:abstractNumId w:val="7"/>
  </w:num>
  <w:num w:numId="10" w16cid:durableId="2009867063">
    <w:abstractNumId w:val="11"/>
  </w:num>
  <w:num w:numId="11" w16cid:durableId="1924602666">
    <w:abstractNumId w:val="13"/>
  </w:num>
  <w:num w:numId="12" w16cid:durableId="2021344936">
    <w:abstractNumId w:val="2"/>
  </w:num>
  <w:num w:numId="13" w16cid:durableId="1909535400">
    <w:abstractNumId w:val="14"/>
  </w:num>
  <w:num w:numId="14" w16cid:durableId="2113629325">
    <w:abstractNumId w:val="10"/>
  </w:num>
  <w:num w:numId="15" w16cid:durableId="519201677">
    <w:abstractNumId w:val="9"/>
  </w:num>
  <w:num w:numId="16" w16cid:durableId="185683666">
    <w:abstractNumId w:val="1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62C"/>
    <w:rsid w:val="000110DF"/>
    <w:rsid w:val="000179EB"/>
    <w:rsid w:val="00034616"/>
    <w:rsid w:val="000370F9"/>
    <w:rsid w:val="00055D65"/>
    <w:rsid w:val="00057AD0"/>
    <w:rsid w:val="0006063C"/>
    <w:rsid w:val="00083F2C"/>
    <w:rsid w:val="00084C49"/>
    <w:rsid w:val="00090885"/>
    <w:rsid w:val="000C6807"/>
    <w:rsid w:val="000E2A85"/>
    <w:rsid w:val="0011731C"/>
    <w:rsid w:val="001427DC"/>
    <w:rsid w:val="0015074B"/>
    <w:rsid w:val="00157EAF"/>
    <w:rsid w:val="00176EC1"/>
    <w:rsid w:val="001A3E81"/>
    <w:rsid w:val="001B2A5E"/>
    <w:rsid w:val="001C128F"/>
    <w:rsid w:val="001E4A8B"/>
    <w:rsid w:val="001F6D0E"/>
    <w:rsid w:val="00204D8B"/>
    <w:rsid w:val="0021558B"/>
    <w:rsid w:val="00217143"/>
    <w:rsid w:val="00281FC3"/>
    <w:rsid w:val="00281FCA"/>
    <w:rsid w:val="0029639D"/>
    <w:rsid w:val="002B281F"/>
    <w:rsid w:val="002C3587"/>
    <w:rsid w:val="002C5C4E"/>
    <w:rsid w:val="003067C9"/>
    <w:rsid w:val="00310D52"/>
    <w:rsid w:val="00322ECA"/>
    <w:rsid w:val="0032551C"/>
    <w:rsid w:val="00326D19"/>
    <w:rsid w:val="00326F90"/>
    <w:rsid w:val="00364FFA"/>
    <w:rsid w:val="003900CC"/>
    <w:rsid w:val="0039521E"/>
    <w:rsid w:val="003A3A97"/>
    <w:rsid w:val="003A5DB2"/>
    <w:rsid w:val="003B5DF2"/>
    <w:rsid w:val="003B7A12"/>
    <w:rsid w:val="003C7FA1"/>
    <w:rsid w:val="003F7817"/>
    <w:rsid w:val="00440931"/>
    <w:rsid w:val="0045232B"/>
    <w:rsid w:val="00460181"/>
    <w:rsid w:val="00477234"/>
    <w:rsid w:val="00490C87"/>
    <w:rsid w:val="0049360B"/>
    <w:rsid w:val="004A577B"/>
    <w:rsid w:val="004D2F30"/>
    <w:rsid w:val="004D6556"/>
    <w:rsid w:val="004F6419"/>
    <w:rsid w:val="005014CD"/>
    <w:rsid w:val="00517CFC"/>
    <w:rsid w:val="00547C5E"/>
    <w:rsid w:val="00555191"/>
    <w:rsid w:val="0057038B"/>
    <w:rsid w:val="005F77E9"/>
    <w:rsid w:val="00606958"/>
    <w:rsid w:val="00614DF1"/>
    <w:rsid w:val="00643CB0"/>
    <w:rsid w:val="0065130E"/>
    <w:rsid w:val="006608CE"/>
    <w:rsid w:val="006942DE"/>
    <w:rsid w:val="006B5472"/>
    <w:rsid w:val="007138C2"/>
    <w:rsid w:val="00714169"/>
    <w:rsid w:val="00762984"/>
    <w:rsid w:val="007B7E00"/>
    <w:rsid w:val="007C3C28"/>
    <w:rsid w:val="007C519E"/>
    <w:rsid w:val="007C6CE5"/>
    <w:rsid w:val="007D3EBE"/>
    <w:rsid w:val="007D76F8"/>
    <w:rsid w:val="007F0EDD"/>
    <w:rsid w:val="007F53AE"/>
    <w:rsid w:val="00802FD5"/>
    <w:rsid w:val="00815657"/>
    <w:rsid w:val="008170A1"/>
    <w:rsid w:val="0085498B"/>
    <w:rsid w:val="00863E93"/>
    <w:rsid w:val="008916FA"/>
    <w:rsid w:val="0090295F"/>
    <w:rsid w:val="00907CAD"/>
    <w:rsid w:val="00941C93"/>
    <w:rsid w:val="00977E0D"/>
    <w:rsid w:val="0098514F"/>
    <w:rsid w:val="009915B2"/>
    <w:rsid w:val="00997E2E"/>
    <w:rsid w:val="009A0624"/>
    <w:rsid w:val="009B4888"/>
    <w:rsid w:val="00A149CB"/>
    <w:rsid w:val="00A276F6"/>
    <w:rsid w:val="00A96A40"/>
    <w:rsid w:val="00AA1D8D"/>
    <w:rsid w:val="00AC51FC"/>
    <w:rsid w:val="00AD19C4"/>
    <w:rsid w:val="00B201E9"/>
    <w:rsid w:val="00B22EB7"/>
    <w:rsid w:val="00B47730"/>
    <w:rsid w:val="00B54250"/>
    <w:rsid w:val="00B614EE"/>
    <w:rsid w:val="00B72F19"/>
    <w:rsid w:val="00B94D44"/>
    <w:rsid w:val="00BF1A0A"/>
    <w:rsid w:val="00C023B4"/>
    <w:rsid w:val="00C52C1F"/>
    <w:rsid w:val="00C5797C"/>
    <w:rsid w:val="00C663DF"/>
    <w:rsid w:val="00C72784"/>
    <w:rsid w:val="00CB0664"/>
    <w:rsid w:val="00CE3CE1"/>
    <w:rsid w:val="00CF5767"/>
    <w:rsid w:val="00D27B0B"/>
    <w:rsid w:val="00D3559E"/>
    <w:rsid w:val="00D94679"/>
    <w:rsid w:val="00DD799D"/>
    <w:rsid w:val="00E42075"/>
    <w:rsid w:val="00E60372"/>
    <w:rsid w:val="00E71416"/>
    <w:rsid w:val="00EA0966"/>
    <w:rsid w:val="00EC77A7"/>
    <w:rsid w:val="00EE6865"/>
    <w:rsid w:val="00EE6F82"/>
    <w:rsid w:val="00F51697"/>
    <w:rsid w:val="00F67D4A"/>
    <w:rsid w:val="00FC0027"/>
    <w:rsid w:val="00FC693F"/>
    <w:rsid w:val="00FD4911"/>
    <w:rsid w:val="00FE41BC"/>
    <w:rsid w:val="03B69A47"/>
    <w:rsid w:val="04C756C6"/>
    <w:rsid w:val="1121F291"/>
    <w:rsid w:val="26CC5551"/>
    <w:rsid w:val="42B14B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042969"/>
  <w14:defaultImageDpi w14:val="330"/>
  <w15:docId w15:val="{B4292754-20B5-42DC-B4AF-B7BC7ABB1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E2E"/>
    <w:rPr>
      <w:rFonts w:ascii="Open Sans" w:hAnsi="Open Sans"/>
      <w:color w:val="545454"/>
      <w:lang w:val="es-MX"/>
    </w:rPr>
  </w:style>
  <w:style w:type="paragraph" w:styleId="Ttulo1">
    <w:name w:val="heading 1"/>
    <w:basedOn w:val="Normal"/>
    <w:next w:val="Normal"/>
    <w:link w:val="Ttulo1Car"/>
    <w:uiPriority w:val="9"/>
    <w:qFormat/>
    <w:rsid w:val="00176EC1"/>
    <w:pPr>
      <w:outlineLvl w:val="0"/>
    </w:pPr>
    <w:rPr>
      <w:b/>
      <w:color w:val="9F2241"/>
    </w:rPr>
  </w:style>
  <w:style w:type="paragraph" w:styleId="Ttulo2">
    <w:name w:val="heading 2"/>
    <w:basedOn w:val="Normal"/>
    <w:next w:val="Normal"/>
    <w:link w:val="Ttulo2Car"/>
    <w:uiPriority w:val="9"/>
    <w:unhideWhenUsed/>
    <w:qFormat/>
    <w:rsid w:val="00997E2E"/>
    <w:pPr>
      <w:outlineLvl w:val="1"/>
    </w:pPr>
    <w:rPr>
      <w:b/>
      <w:bCs/>
      <w:color w:val="9F2241"/>
      <w:sz w:val="24"/>
      <w:szCs w:val="24"/>
    </w:rPr>
  </w:style>
  <w:style w:type="paragraph" w:styleId="Ttulo3">
    <w:name w:val="heading 3"/>
    <w:basedOn w:val="Normal"/>
    <w:next w:val="Normal"/>
    <w:link w:val="Ttulo3Car"/>
    <w:uiPriority w:val="9"/>
    <w:unhideWhenUsed/>
    <w:qFormat/>
    <w:rsid w:val="007F0EDD"/>
    <w:pPr>
      <w:outlineLvl w:val="2"/>
    </w:pPr>
    <w:rPr>
      <w:b/>
      <w:bCs/>
      <w:color w:val="9F224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176EC1"/>
    <w:rPr>
      <w:rFonts w:ascii="Open Sans" w:hAnsi="Open Sans"/>
      <w:b/>
      <w:color w:val="9F2241"/>
    </w:rPr>
  </w:style>
  <w:style w:type="character" w:customStyle="1" w:styleId="Ttulo2Car">
    <w:name w:val="Título 2 Car"/>
    <w:basedOn w:val="Fuentedeprrafopredeter"/>
    <w:link w:val="Ttulo2"/>
    <w:uiPriority w:val="9"/>
    <w:rsid w:val="00997E2E"/>
    <w:rPr>
      <w:rFonts w:ascii="Open Sans" w:hAnsi="Open Sans"/>
      <w:b/>
      <w:bCs/>
      <w:color w:val="9F2241"/>
      <w:sz w:val="24"/>
      <w:szCs w:val="24"/>
    </w:rPr>
  </w:style>
  <w:style w:type="character" w:customStyle="1" w:styleId="Ttulo3Car">
    <w:name w:val="Título 3 Car"/>
    <w:basedOn w:val="Fuentedeprrafopredeter"/>
    <w:link w:val="Ttulo3"/>
    <w:uiPriority w:val="9"/>
    <w:rsid w:val="007F0EDD"/>
    <w:rPr>
      <w:rFonts w:ascii="Open Sans" w:hAnsi="Open Sans"/>
      <w:b/>
      <w:bCs/>
      <w:color w:val="9F2241"/>
    </w:rPr>
  </w:style>
  <w:style w:type="paragraph" w:styleId="Ttulo">
    <w:name w:val="Title"/>
    <w:basedOn w:val="Encabezado"/>
    <w:next w:val="Normal"/>
    <w:link w:val="TtuloCar"/>
    <w:uiPriority w:val="10"/>
    <w:qFormat/>
    <w:rsid w:val="00217143"/>
    <w:pPr>
      <w:spacing w:before="120" w:after="300"/>
      <w:jc w:val="center"/>
    </w:pPr>
    <w:rPr>
      <w:rFonts w:ascii="Montserrat" w:hAnsi="Montserrat"/>
      <w:b/>
      <w:color w:val="9F2241"/>
      <w:sz w:val="32"/>
      <w:szCs w:val="32"/>
    </w:rPr>
  </w:style>
  <w:style w:type="character" w:customStyle="1" w:styleId="TtuloCar">
    <w:name w:val="Título Car"/>
    <w:basedOn w:val="Fuentedeprrafopredeter"/>
    <w:link w:val="Ttulo"/>
    <w:uiPriority w:val="10"/>
    <w:rsid w:val="00217143"/>
    <w:rPr>
      <w:rFonts w:ascii="Montserrat" w:hAnsi="Montserrat"/>
      <w:b/>
      <w:color w:val="9F2241"/>
      <w:sz w:val="32"/>
      <w:szCs w:val="32"/>
    </w:rPr>
  </w:style>
  <w:style w:type="paragraph" w:styleId="Subttulo">
    <w:name w:val="Subtitle"/>
    <w:basedOn w:val="Normal"/>
    <w:next w:val="Normal"/>
    <w:link w:val="SubttuloCar"/>
    <w:uiPriority w:val="11"/>
    <w:qFormat/>
    <w:rsid w:val="00217143"/>
    <w:pPr>
      <w:spacing w:after="240"/>
    </w:pPr>
    <w:rPr>
      <w:rFonts w:ascii="Montserrat Black" w:hAnsi="Montserrat Black"/>
      <w:color w:val="235B4E"/>
      <w:kern w:val="28"/>
      <w:sz w:val="28"/>
      <w:szCs w:val="28"/>
    </w:rPr>
  </w:style>
  <w:style w:type="character" w:customStyle="1" w:styleId="SubttuloCar">
    <w:name w:val="Subtítulo Car"/>
    <w:basedOn w:val="Fuentedeprrafopredeter"/>
    <w:link w:val="Subttulo"/>
    <w:uiPriority w:val="11"/>
    <w:rsid w:val="00217143"/>
    <w:rPr>
      <w:rFonts w:ascii="Montserrat Black" w:hAnsi="Montserrat Black"/>
      <w:color w:val="235B4E"/>
      <w:kern w:val="28"/>
      <w:sz w:val="28"/>
      <w:szCs w:val="28"/>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aliases w:val="Tabla Microsoft Servicios"/>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057AD0"/>
    <w:rPr>
      <w:color w:val="0000FF" w:themeColor="hyperlink"/>
      <w:u w:val="single"/>
    </w:rPr>
  </w:style>
  <w:style w:type="table" w:styleId="Tablaconcuadrcula1Claro-nfasis2">
    <w:name w:val="Grid Table 1 Light Accent 2"/>
    <w:basedOn w:val="Tablanormal"/>
    <w:uiPriority w:val="46"/>
    <w:rsid w:val="00057AD0"/>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character" w:styleId="Mencinsinresolver">
    <w:name w:val="Unresolved Mention"/>
    <w:basedOn w:val="Fuentedeprrafopredeter"/>
    <w:uiPriority w:val="99"/>
    <w:semiHidden/>
    <w:unhideWhenUsed/>
    <w:rsid w:val="007B7E00"/>
    <w:rPr>
      <w:color w:val="605E5C"/>
      <w:shd w:val="clear" w:color="auto" w:fill="E1DFDD"/>
    </w:rPr>
  </w:style>
  <w:style w:type="table" w:styleId="Tablanormal1">
    <w:name w:val="Plain Table 1"/>
    <w:basedOn w:val="Tablanormal"/>
    <w:uiPriority w:val="41"/>
    <w:rsid w:val="00C72784"/>
    <w:pPr>
      <w:spacing w:after="0" w:line="240" w:lineRule="auto"/>
    </w:pPr>
    <w:rPr>
      <w:rFonts w:eastAsiaTheme="minorHAnsi"/>
      <w:kern w:val="2"/>
      <w:sz w:val="24"/>
      <w:szCs w:val="24"/>
      <w:lang w:val="es-MX"/>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99"/>
    <w:rsid w:val="00EE686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clara">
    <w:name w:val="Grid Table Light"/>
    <w:basedOn w:val="Tablanormal"/>
    <w:uiPriority w:val="99"/>
    <w:rsid w:val="00EE686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B201E9"/>
    <w:pPr>
      <w:spacing w:before="100" w:beforeAutospacing="1" w:after="100" w:afterAutospacing="1" w:line="240" w:lineRule="auto"/>
    </w:pPr>
    <w:rPr>
      <w:rFonts w:ascii="Times New Roman" w:hAnsi="Times New Roman" w:cs="Times New Roman"/>
      <w:color w:val="auto"/>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714821">
      <w:bodyDiv w:val="1"/>
      <w:marLeft w:val="0"/>
      <w:marRight w:val="0"/>
      <w:marTop w:val="0"/>
      <w:marBottom w:val="0"/>
      <w:divBdr>
        <w:top w:val="none" w:sz="0" w:space="0" w:color="auto"/>
        <w:left w:val="none" w:sz="0" w:space="0" w:color="auto"/>
        <w:bottom w:val="none" w:sz="0" w:space="0" w:color="auto"/>
        <w:right w:val="none" w:sz="0" w:space="0" w:color="auto"/>
      </w:divBdr>
    </w:div>
    <w:div w:id="1507400516">
      <w:bodyDiv w:val="1"/>
      <w:marLeft w:val="0"/>
      <w:marRight w:val="0"/>
      <w:marTop w:val="0"/>
      <w:marBottom w:val="0"/>
      <w:divBdr>
        <w:top w:val="none" w:sz="0" w:space="0" w:color="auto"/>
        <w:left w:val="none" w:sz="0" w:space="0" w:color="auto"/>
        <w:bottom w:val="none" w:sz="0" w:space="0" w:color="auto"/>
        <w:right w:val="none" w:sz="0" w:space="0" w:color="auto"/>
      </w:divBdr>
    </w:div>
    <w:div w:id="1514951230">
      <w:bodyDiv w:val="1"/>
      <w:marLeft w:val="0"/>
      <w:marRight w:val="0"/>
      <w:marTop w:val="0"/>
      <w:marBottom w:val="0"/>
      <w:divBdr>
        <w:top w:val="none" w:sz="0" w:space="0" w:color="auto"/>
        <w:left w:val="none" w:sz="0" w:space="0" w:color="auto"/>
        <w:bottom w:val="none" w:sz="0" w:space="0" w:color="auto"/>
        <w:right w:val="none" w:sz="0" w:space="0" w:color="auto"/>
      </w:divBdr>
    </w:div>
    <w:div w:id="18113577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861</Words>
  <Characters>4737</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5587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Victor Lelo de Larrea</cp:lastModifiedBy>
  <cp:revision>17</cp:revision>
  <cp:lastPrinted>2026-01-20T21:57:00Z</cp:lastPrinted>
  <dcterms:created xsi:type="dcterms:W3CDTF">2026-01-19T19:50:00Z</dcterms:created>
  <dcterms:modified xsi:type="dcterms:W3CDTF">2026-06-23T22:31:00Z</dcterms:modified>
  <cp:category/>
</cp:coreProperties>
</file>