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1B904" w14:textId="77777777" w:rsidR="009C7F54" w:rsidRDefault="009C7F54">
      <w:pPr>
        <w:pStyle w:val="Ttulo1"/>
        <w:rPr>
          <w:rFonts w:ascii="Calibri" w:eastAsia="Times New Roman" w:hAnsi="Calibri" w:cs="Calibri"/>
        </w:rPr>
      </w:pPr>
      <w:bookmarkStart w:id="0" w:name="_Toc217296775"/>
      <w:bookmarkStart w:id="1" w:name="_Toc219739752"/>
      <w:bookmarkStart w:id="2" w:name="_Toc221820033"/>
      <w:r>
        <w:rPr>
          <w:rFonts w:ascii="Calibri" w:eastAsia="Times New Roman" w:hAnsi="Calibri" w:cs="Calibri"/>
        </w:rPr>
        <w:t>Informe Mensual de Optimización de Rendimiento de Bases de Datos</w:t>
      </w:r>
    </w:p>
    <w:p w14:paraId="1223A346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7C3B7F94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119A5817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69321FA1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D6C9F2">
          <v:rect id="_x0000_i1025" style="width:0;height:1.5pt" o:hralign="center" o:hrstd="t" o:hr="t" fillcolor="#a0a0a0" stroked="f"/>
        </w:pict>
      </w:r>
    </w:p>
    <w:p w14:paraId="42F442F2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2FB9277D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y documentar de forma estructurada, técnica y exhaustiva los avances correspondientes a mayo de 2026 en materia de rendimiento y optimización física de la base de datos PostgreSQL, privilegiando mediciones de velocidad, análisis comparativos de ejecución lógicos, comportamiento del pool ante hilos dinámicos y recomendaciones formuladas sobre métricas reales del periodo.</w:t>
      </w:r>
    </w:p>
    <w:p w14:paraId="6D2CBDA0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68738D72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En contraste con el informe genérico de abril (el cual se concentró en identificar cuellos de botella iniciales y candidatos teóricos para la optimización), este informe describe únicamente:</w:t>
      </w:r>
    </w:p>
    <w:p w14:paraId="34064507" w14:textId="77777777" w:rsidR="009C7F54" w:rsidRDefault="009C7F54" w:rsidP="009C7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Mediciones cuantitativas absolutas levantadas en mayo.</w:t>
      </w:r>
    </w:p>
    <w:p w14:paraId="6F92E59F" w14:textId="77777777" w:rsidR="009C7F54" w:rsidRDefault="009C7F54" w:rsidP="009C7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Planes de ejecución comparativos (</w:t>
      </w:r>
      <w:r>
        <w:rPr>
          <w:rStyle w:val="CdigoHTML"/>
        </w:rPr>
        <w:t>EXPLAIN ANALYZE</w:t>
      </w:r>
      <w:r>
        <w:rPr>
          <w:rFonts w:ascii="Calibri" w:eastAsia="Times New Roman" w:hAnsi="Calibri" w:cs="Calibri"/>
        </w:rPr>
        <w:t>) reales obtenidos mediante pruebas de campo en DEV.</w:t>
      </w:r>
    </w:p>
    <w:p w14:paraId="717FFAEC" w14:textId="77777777" w:rsidR="009C7F54" w:rsidRDefault="009C7F54" w:rsidP="009C7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Observaciones de estrés transaccional variando la concurrencia operativa de hilos.</w:t>
      </w:r>
    </w:p>
    <w:p w14:paraId="55CA1ACE" w14:textId="77777777" w:rsidR="009C7F54" w:rsidRDefault="009C7F54" w:rsidP="009C7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Ajustes ejecutados para prevenir degradaciones por crecimiento exponencial de tablas operativas.</w:t>
      </w:r>
    </w:p>
    <w:p w14:paraId="45734067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14:paraId="717A9B03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meta analítica de mayo fue la erradicación de los barridos completos de tabla (*Sequential Scans*) en los accesos de extracción más costosos del pipeline Vida Saludable. Se abordó con especial interés:</w:t>
      </w:r>
    </w:p>
    <w:p w14:paraId="0799BC00" w14:textId="77777777" w:rsidR="009C7F54" w:rsidRDefault="009C7F54" w:rsidP="009C7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velocidad de la consulta combinada de extracción en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catalogo_cct</w:t>
      </w:r>
      <w:r>
        <w:rPr>
          <w:rFonts w:ascii="Calibri" w:eastAsia="Times New Roman" w:hAnsi="Calibri" w:cs="Calibri"/>
        </w:rPr>
        <w:t>.</w:t>
      </w:r>
    </w:p>
    <w:p w14:paraId="2FCE13DC" w14:textId="77777777" w:rsidR="009C7F54" w:rsidRDefault="009C7F54" w:rsidP="009C7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consulta de reprocesamiento sobre registros marcados con estado </w:t>
      </w:r>
      <w:r>
        <w:rPr>
          <w:rStyle w:val="CdigoHTML"/>
        </w:rPr>
        <w:t>FALLO</w:t>
      </w:r>
      <w:r>
        <w:rPr>
          <w:rFonts w:ascii="Calibri" w:eastAsia="Times New Roman" w:hAnsi="Calibri" w:cs="Calibri"/>
        </w:rPr>
        <w:lastRenderedPageBreak/>
        <w:t xml:space="preserve">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>.</w:t>
      </w:r>
    </w:p>
    <w:p w14:paraId="0FDC99D2" w14:textId="77777777" w:rsidR="009C7F54" w:rsidRDefault="009C7F54" w:rsidP="009C7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 consulta selectiva para la reanudación de lotes basada en exclusión lógica (</w:t>
      </w:r>
      <w:r>
        <w:rPr>
          <w:rStyle w:val="CdigoHTML"/>
        </w:rPr>
        <w:t>LEFT JOIN ... WHERE ... IS NULL</w:t>
      </w:r>
      <w:r>
        <w:rPr>
          <w:rFonts w:ascii="Calibri" w:eastAsia="Times New Roman" w:hAnsi="Calibri" w:cs="Calibri"/>
        </w:rPr>
        <w:t>).</w:t>
      </w:r>
    </w:p>
    <w:p w14:paraId="1D05B7ED" w14:textId="77777777" w:rsidR="009C7F54" w:rsidRDefault="009C7F54" w:rsidP="009C7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El impacto del volumen y bloqueos concurrentes generados por escrituras simultáneas en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7F6DC022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0E1557">
          <v:rect id="_x0000_i1026" style="width:0;height:1.5pt" o:hralign="center" o:hrstd="t" o:hr="t" fillcolor="#a0a0a0" stroked="f"/>
        </w:pict>
      </w:r>
    </w:p>
    <w:p w14:paraId="3070CBAB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Comparativa Visual (Rendimiento)</w:t>
      </w:r>
    </w:p>
    <w:p w14:paraId="72422793" w14:textId="77777777" w:rsidR="009C7F54" w:rsidRDefault="009C7F54">
      <w:pPr>
        <w:pStyle w:val="HTMLconformatoprevio"/>
      </w:pPr>
    </w:p>
    <w:p w14:paraId="6EF5250A" w14:textId="77777777" w:rsidR="009C7F54" w:rsidRDefault="009C7F54">
      <w:pPr>
        <w:pStyle w:val="HTMLconformatoprevio"/>
      </w:pPr>
      <w:r>
        <w:t>TIEMPO DE RESPUESTA DE LA CONSULTA DE EXTRACCIÓN (Segundos)</w:t>
      </w:r>
    </w:p>
    <w:p w14:paraId="4D9AED8A" w14:textId="77777777" w:rsidR="009C7F54" w:rsidRDefault="009C7F54">
      <w:pPr>
        <w:pStyle w:val="HTMLconformatoprevio"/>
      </w:pPr>
      <w:r>
        <w:t>Lower is better (Menos es mejor)</w:t>
      </w:r>
    </w:p>
    <w:p w14:paraId="4B97992E" w14:textId="77777777" w:rsidR="009C7F54" w:rsidRDefault="009C7F54">
      <w:pPr>
        <w:pStyle w:val="HTMLconformatoprevio"/>
      </w:pPr>
    </w:p>
    <w:p w14:paraId="11DC4F95" w14:textId="77777777" w:rsidR="009C7F54" w:rsidRDefault="009C7F54">
      <w:pPr>
        <w:pStyle w:val="HTMLconformatoprevio"/>
      </w:pPr>
      <w:r>
        <w:t>Antes (Línea Base):  ================================================  3.20s</w:t>
      </w:r>
    </w:p>
    <w:p w14:paraId="4BE5C0C0" w14:textId="77777777" w:rsidR="009C7F54" w:rsidRDefault="009C7F54">
      <w:pPr>
        <w:pStyle w:val="HTMLconformatoprevio"/>
      </w:pPr>
      <w:r>
        <w:t>Después (Optimizado): ==  0.18s</w:t>
      </w:r>
    </w:p>
    <w:p w14:paraId="48205360" w14:textId="77777777" w:rsidR="009C7F54" w:rsidRDefault="009C7F54">
      <w:pPr>
        <w:pStyle w:val="HTMLconformatoprevio"/>
      </w:pPr>
    </w:p>
    <w:p w14:paraId="1B2B6A9C" w14:textId="77777777" w:rsidR="009C7F54" w:rsidRDefault="009C7F54">
      <w:pPr>
        <w:pStyle w:val="HTMLconformatoprevio"/>
      </w:pPr>
      <w:r>
        <w:t>% de Reducción en tiempo de latencia: [ 94.3% ]</w:t>
      </w:r>
    </w:p>
    <w:p w14:paraId="6BA5A941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4558EF0">
          <v:rect id="_x0000_i1027" style="width:0;height:1.5pt" o:hralign="center" o:hrstd="t" o:hr="t" fillcolor="#a0a0a0" stroked="f"/>
        </w:pict>
      </w:r>
    </w:p>
    <w:p w14:paraId="4D5B007F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Evidencia del Análisis y Optimización Realizada en Mayo</w:t>
      </w:r>
    </w:p>
    <w:p w14:paraId="372EF8E8" w14:textId="77777777" w:rsidR="009C7F54" w:rsidRDefault="009C7F5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Mediciones del mes</w:t>
      </w:r>
    </w:p>
    <w:p w14:paraId="200F9DEC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se realizaron pruebas de carga y profiling sobre las consultas críticas descritas en la línea base de abril. El comportamiento observado de la consulta de extracción principal (</w:t>
      </w:r>
      <w:r>
        <w:rPr>
          <w:rStyle w:val="CdigoHTML"/>
        </w:rPr>
        <w:t>SELECT ... JOIN catalogo_cct ...</w:t>
      </w:r>
      <w:r>
        <w:rPr>
          <w:rFonts w:ascii="Calibri" w:hAnsi="Calibri" w:cs="Calibri"/>
          <w:sz w:val="22"/>
          <w:szCs w:val="22"/>
        </w:rPr>
        <w:t>) arrojó las siguientes mediciones:</w:t>
      </w:r>
    </w:p>
    <w:p w14:paraId="122A1EB5" w14:textId="77777777" w:rsidR="009C7F54" w:rsidRDefault="009C7F54" w:rsidP="009C7F5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Sin Optimización (Línea Base):</w:t>
      </w:r>
      <w:r>
        <w:rPr>
          <w:rFonts w:ascii="Calibri" w:eastAsia="Times New Roman" w:hAnsi="Calibri" w:cs="Calibri"/>
        </w:rPr>
        <w:t xml:space="preserve"> Tiempo de respuesta promedio de </w:t>
      </w:r>
      <w:r>
        <w:rPr>
          <w:rStyle w:val="Fuerte"/>
          <w:rFonts w:ascii="Calibri" w:eastAsia="Times New Roman" w:hAnsi="Calibri" w:cs="Calibri"/>
        </w:rPr>
        <w:t>3.20 segundos</w:t>
      </w:r>
      <w:r>
        <w:rPr>
          <w:rFonts w:ascii="Calibri" w:eastAsia="Times New Roman" w:hAnsi="Calibri" w:cs="Calibri"/>
        </w:rPr>
        <w:t xml:space="preserve"> para lotes de 5,000 registros, debido a escaneos secuenciales (</w:t>
      </w:r>
      <w:r>
        <w:rPr>
          <w:rStyle w:val="CdigoHTML"/>
        </w:rPr>
        <w:t>Seq Scan</w:t>
      </w:r>
      <w:r>
        <w:rPr>
          <w:rFonts w:ascii="Calibri" w:eastAsia="Times New Roman" w:hAnsi="Calibri" w:cs="Calibri"/>
        </w:rPr>
        <w:t xml:space="preserve">) en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>.</w:t>
      </w:r>
    </w:p>
    <w:p w14:paraId="74E8D387" w14:textId="77777777" w:rsidR="009C7F54" w:rsidRDefault="009C7F54" w:rsidP="009C7F5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 Opt</w:t>
      </w:r>
      <w:r>
        <w:rPr>
          <w:rStyle w:val="Fuerte"/>
          <w:rFonts w:ascii="Calibri" w:eastAsia="Times New Roman" w:hAnsi="Calibri" w:cs="Calibri"/>
        </w:rPr>
        <w:lastRenderedPageBreak/>
        <w:t>imización (Índice Compuesto):</w:t>
      </w:r>
      <w:r>
        <w:rPr>
          <w:rFonts w:ascii="Calibri" w:eastAsia="Times New Roman" w:hAnsi="Calibri" w:cs="Calibri"/>
        </w:rPr>
        <w:t xml:space="preserve"> Tiempo de respuesta promedio reducido a </w:t>
      </w:r>
      <w:r>
        <w:rPr>
          <w:rStyle w:val="Fuerte"/>
          <w:rFonts w:ascii="Calibri" w:eastAsia="Times New Roman" w:hAnsi="Calibri" w:cs="Calibri"/>
        </w:rPr>
        <w:t>0.18 segundos</w:t>
      </w:r>
      <w:r>
        <w:rPr>
          <w:rFonts w:ascii="Calibri" w:eastAsia="Times New Roman" w:hAnsi="Calibri" w:cs="Calibri"/>
        </w:rPr>
        <w:t xml:space="preserve"> (mejora de </w:t>
      </w:r>
      <w:r>
        <w:rPr>
          <w:rStyle w:val="Fuerte"/>
          <w:rFonts w:ascii="Calibri" w:eastAsia="Times New Roman" w:hAnsi="Calibri" w:cs="Calibri"/>
        </w:rPr>
        <w:t>94.3%</w:t>
      </w:r>
      <w:r>
        <w:rPr>
          <w:rFonts w:ascii="Calibri" w:eastAsia="Times New Roman" w:hAnsi="Calibri" w:cs="Calibri"/>
        </w:rPr>
        <w:t>).</w:t>
      </w:r>
    </w:p>
    <w:p w14:paraId="2307D0B7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15948FC">
          <v:rect id="_x0000_i1028" style="width:0;height:1.5pt" o:hralign="center" o:hrstd="t" o:hr="t" fillcolor="#a0a0a0" stroked="f"/>
        </w:pict>
      </w:r>
    </w:p>
    <w:p w14:paraId="7DDEBAE4" w14:textId="77777777" w:rsidR="009C7F54" w:rsidRDefault="009C7F5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Revisión de índices y planes de ejecución</w:t>
      </w:r>
    </w:p>
    <w:p w14:paraId="64B4C8CB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analizaron los planes de ejecución (</w:t>
      </w:r>
      <w:r>
        <w:rPr>
          <w:rStyle w:val="CdigoHTML"/>
        </w:rPr>
        <w:t>EXPLAIN ANALYZE</w:t>
      </w:r>
      <w:r>
        <w:rPr>
          <w:rFonts w:ascii="Calibri" w:hAnsi="Calibri" w:cs="Calibri"/>
          <w:sz w:val="22"/>
          <w:szCs w:val="22"/>
        </w:rPr>
        <w:t>) y se aplicaron dos índices específicos en la base de datos de desarrollo (DEV):</w:t>
      </w:r>
    </w:p>
    <w:p w14:paraId="0687F947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Índice compuesto en </w:t>
      </w:r>
      <w:r>
        <w:rPr>
          <w:rStyle w:val="CdigoHTML"/>
          <w:b/>
          <w:bCs/>
        </w:rPr>
        <w:t>menor_evaluado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2972D0FE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```sql</w:t>
      </w:r>
    </w:p>
    <w:p w14:paraId="34C85C97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 INDEX idx_menor_evaluado_cct_curp_ciclo </w:t>
      </w:r>
    </w:p>
    <w:p w14:paraId="0594EF2A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 menor_evaluado (id_cct, curp, id_ciclo_escolar);</w:t>
      </w:r>
    </w:p>
    <w:p w14:paraId="3DA7DDB9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6BF1D646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*Efecto:* El plan de ejecución pasó de un </w:t>
      </w:r>
      <w:r>
        <w:rPr>
          <w:rStyle w:val="CdigoHTML"/>
        </w:rPr>
        <w:t>Seq Scan</w:t>
      </w:r>
      <w:r>
        <w:rPr>
          <w:rFonts w:ascii="Calibri" w:hAnsi="Calibri" w:cs="Calibri"/>
          <w:sz w:val="22"/>
          <w:szCs w:val="22"/>
        </w:rPr>
        <w:t xml:space="preserve"> costoso a un </w:t>
      </w:r>
      <w:r>
        <w:rPr>
          <w:rStyle w:val="CdigoHTML"/>
        </w:rPr>
        <w:t>Index Scan</w:t>
      </w:r>
      <w:r>
        <w:rPr>
          <w:rFonts w:ascii="Calibri" w:hAnsi="Calibri" w:cs="Calibri"/>
          <w:sz w:val="22"/>
          <w:szCs w:val="22"/>
        </w:rPr>
        <w:t xml:space="preserve"> altamente eficiente, reduciendo drásticamente el uso de CPU a nivel de servidor.</w:t>
      </w:r>
    </w:p>
    <w:p w14:paraId="37B633FD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Índice en </w:t>
      </w:r>
      <w:r>
        <w:rPr>
          <w:rStyle w:val="CdigoHTML"/>
          <w:b/>
          <w:bCs/>
        </w:rPr>
        <w:t>CurpProcesada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63F554CA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```sql</w:t>
      </w:r>
    </w:p>
    <w:p w14:paraId="55C2A817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 INDEX idx_curp_procesada_lote_estado </w:t>
      </w:r>
    </w:p>
    <w:p w14:paraId="27B76AF9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 CurpProcesada (id_lote, estado_descarga);</w:t>
      </w:r>
    </w:p>
    <w:p w14:paraId="428FAC85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1CDA50E5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*Efecto:* Optimiza la consulta utilizada por el script de reproceso (</w:t>
      </w:r>
      <w:r>
        <w:rPr>
          <w:rStyle w:val="CdigoHTML"/>
        </w:rPr>
        <w:t>run_reproceso.py</w:t>
      </w:r>
      <w:r>
        <w:rPr>
          <w:rFonts w:ascii="Calibri" w:hAnsi="Calibri" w:cs="Calibri"/>
          <w:sz w:val="22"/>
          <w:szCs w:val="22"/>
        </w:rPr>
        <w:t>) para filtrar registros fallidos por lote de forma inmediata.</w:t>
      </w:r>
    </w:p>
    <w:p w14:paraId="7E5E2E37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519D13">
          <v:rect id="_x0000_i1029" style="width:0;height:1.5pt" o:hralign="center" o:hrstd="t" o:hr="t" fillcolor="#a0a0a0" stroked="f"/>
        </w:pict>
      </w:r>
    </w:p>
    <w:p w14:paraId="7E1FE9B0" w14:textId="77777777" w:rsidR="009C7F54" w:rsidRDefault="009C7F5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Detalles del Analizador de Consultas (PostgreSQL EXPLAIN ANALYZE)</w:t>
      </w:r>
    </w:p>
    <w:p w14:paraId="295512EE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Style w:val="Fuerte"/>
          <w:rFonts w:ascii="Calibri" w:hAnsi="Calibri" w:cs="Calibri"/>
          <w:sz w:val="22"/>
          <w:szCs w:val="22"/>
        </w:rPr>
        <w:t>Plan de Ejecución Inicial (Seq Scan costoso sin índices):</w:t>
      </w:r>
    </w:p>
    <w:p w14:paraId="3FC3F007" w14:textId="77777777" w:rsidR="009C7F54" w:rsidRDefault="009C7F54">
      <w:pPr>
        <w:pStyle w:val="HTMLconformatoprevio"/>
      </w:pPr>
    </w:p>
    <w:p w14:paraId="5ADC25E4" w14:textId="77777777" w:rsidR="009C7F54" w:rsidRDefault="009C7F54">
      <w:pPr>
        <w:pStyle w:val="HTMLconformatoprevio"/>
      </w:pPr>
      <w:r>
        <w:t>Hash Join  (cost=1254.21..8451.98 rows=5500 width=32)</w:t>
      </w:r>
    </w:p>
    <w:p w14:paraId="4AA68481" w14:textId="77777777" w:rsidR="009C7F54" w:rsidRDefault="009C7F54">
      <w:pPr>
        <w:pStyle w:val="HTMLconformatoprevio"/>
      </w:pPr>
      <w:r>
        <w:t xml:space="preserve">  Hash Cond: (m.id_cct = c.id)</w:t>
      </w:r>
    </w:p>
    <w:p w14:paraId="7136192F" w14:textId="77777777" w:rsidR="009C7F54" w:rsidRDefault="009C7F54">
      <w:pPr>
        <w:pStyle w:val="HTMLconformatoprevio"/>
      </w:pPr>
      <w:r>
        <w:t xml:space="preserve">  -&gt;  Seq Scan on menor_evaluado m  (cost=0.00..6982.50 loops=1)</w:t>
      </w:r>
    </w:p>
    <w:p w14:paraId="4371157D" w14:textId="77777777" w:rsidR="009C7F54" w:rsidRDefault="009C7F54">
      <w:pPr>
        <w:pStyle w:val="HTMLconformatoprevio"/>
      </w:pPr>
      <w:r>
        <w:t xml:space="preserve">        Filter: ((id_ciclo_escolar = 3) AND ((cct_entidad) = '30'))</w:t>
      </w:r>
    </w:p>
    <w:p w14:paraId="64522829" w14:textId="77777777" w:rsidR="009C7F54" w:rsidRDefault="009C7F54">
      <w:pPr>
        <w:pStyle w:val="HTMLconformatoprevio"/>
      </w:pPr>
      <w:r>
        <w:t>-- Execution Time: 3204.852 ms (3.20 segundos)</w:t>
      </w:r>
    </w:p>
    <w:p w14:paraId="3EDB9F3C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Style w:val="Fuerte"/>
          <w:rFonts w:ascii="Calibri" w:hAnsi="Calibri" w:cs="Calibri"/>
          <w:sz w:val="22"/>
          <w:szCs w:val="22"/>
        </w:rPr>
        <w:t>Plan de Ejecución Optimizado (Index Scan instantáneo):</w:t>
      </w:r>
    </w:p>
    <w:p w14:paraId="0A78A1AF" w14:textId="77777777" w:rsidR="009C7F54" w:rsidRDefault="009C7F54">
      <w:pPr>
        <w:pStyle w:val="HTMLconformatoprevio"/>
      </w:pPr>
    </w:p>
    <w:p w14:paraId="50DF64BB" w14:textId="77777777" w:rsidR="009C7F54" w:rsidRDefault="009C7F54">
      <w:pPr>
        <w:pStyle w:val="HTMLconformatoprevio"/>
      </w:pPr>
      <w:r>
        <w:t>Nested Loop  (cost=0.42..450.21 rows=5500 width=32)</w:t>
      </w:r>
    </w:p>
    <w:p w14:paraId="25282F94" w14:textId="77777777" w:rsidR="009C7F54" w:rsidRDefault="009C7F54">
      <w:pPr>
        <w:pStyle w:val="HTMLconformatoprevio"/>
      </w:pPr>
      <w:r>
        <w:t xml:space="preserve">  -&gt;  Index Scan using idx_menor_evaluado_cct_curp_ciclo on menor_evaluado m</w:t>
      </w:r>
    </w:p>
    <w:p w14:paraId="11B60BD9" w14:textId="77777777" w:rsidR="009C7F54" w:rsidRDefault="009C7F54">
      <w:pPr>
        <w:pStyle w:val="HTMLconformatoprevio"/>
      </w:pPr>
      <w:r>
        <w:t xml:space="preserve">        Index Cond: ((id_cct = c.id) AND (id_ciclo_escolar = 3))</w:t>
      </w:r>
    </w:p>
    <w:p w14:paraId="0FF13776" w14:textId="77777777" w:rsidR="009C7F54" w:rsidRDefault="009C7F54">
      <w:pPr>
        <w:pStyle w:val="HTMLconformatoprevio"/>
      </w:pPr>
      <w:r>
        <w:t>-- Execution Time: 178.341 ms (0.18 segundos)</w:t>
      </w:r>
    </w:p>
    <w:p w14:paraId="33E9631D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B03BE37">
          <v:rect id="_x0000_i1030" style="width:0;height:1.5pt" o:hralign="center" o:hrstd="t" o:hr="t" fillcolor="#a0a0a0" stroked="f"/>
        </w:pict>
      </w:r>
    </w:p>
    <w:p w14:paraId="1B8C20AF" w14:textId="77777777" w:rsidR="009C7F54" w:rsidRDefault="009C7F5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Impacto observado de la concurrencia</w:t>
      </w:r>
    </w:p>
    <w:p w14:paraId="69CEA88C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corrieron pruebas controladas modificando la variable </w:t>
      </w:r>
      <w:r>
        <w:rPr>
          <w:rStyle w:val="CdigoHTML"/>
        </w:rPr>
        <w:t>WORKERS</w:t>
      </w:r>
      <w:r>
        <w:rPr>
          <w:rFonts w:ascii="Calibri" w:hAnsi="Calibri" w:cs="Calibri"/>
          <w:sz w:val="22"/>
          <w:szCs w:val="22"/>
        </w:rPr>
        <w:t xml:space="preserve"> para evaluar la estabilidad de las operaciones concurrentes: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2134"/>
        <w:gridCol w:w="1798"/>
        <w:gridCol w:w="2080"/>
        <w:gridCol w:w="1913"/>
      </w:tblGrid>
      <w:tr w:rsidR="009C7F54" w14:paraId="5860413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24EDEF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Hilos (</w:t>
            </w:r>
            <w:r>
              <w:rPr>
                <w:rStyle w:val="CdigoHTML"/>
                <w:b/>
                <w:bCs/>
              </w:rPr>
              <w:t>WORKERS</w:t>
            </w:r>
            <w:r>
              <w:rPr>
                <w:rFonts w:ascii="Calibri" w:eastAsia="Times New Roman" w:hAnsi="Calibri" w:cs="Calibri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C8B2F3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 por Lote (5k registros)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861F45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Tasa de Inserción en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A71CE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 de Conexiones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9CE092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Operación Global</w:t>
            </w:r>
          </w:p>
        </w:tc>
      </w:tr>
      <w:tr w:rsidR="009C7F54" w14:paraId="1E70AA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B3B944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hilos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D76C6D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75BDA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290 inserts/min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3B9443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Estable (pool holgado)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B38E8D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Velocidad media, segura</w:t>
            </w:r>
          </w:p>
        </w:tc>
      </w:tr>
      <w:tr w:rsidR="009C7F54" w14:paraId="2AA227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4E1862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 hilos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0A4F27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8B660F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410 inserts/min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D70D97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Estable (pool con leve uso)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311FEA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Configuración óptima</w:t>
            </w:r>
          </w:p>
        </w:tc>
      </w:tr>
      <w:tr w:rsidR="009C7F54" w14:paraId="7AC305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D15A80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hilos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9988B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 minutos (degradado)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AE079B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330 inserts/min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66897D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Conexión saturada (Timeouts)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B58BDB" w14:textId="77777777" w:rsidR="009C7F54" w:rsidRDefault="009C7F5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Contención por locks</w:t>
            </w:r>
          </w:p>
        </w:tc>
      </w:tr>
    </w:tbl>
    <w:p w14:paraId="26B25C9E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*Análisis:* El incremento excesivo de hilos por encima de 15 genera contención de bloqueos (</w:t>
      </w:r>
      <w:r>
        <w:rPr>
          <w:rStyle w:val="CdigoHTML"/>
        </w:rPr>
        <w:t>locks</w:t>
      </w:r>
      <w:r>
        <w:rPr>
          <w:rFonts w:ascii="Calibri" w:hAnsi="Calibri" w:cs="Calibri"/>
          <w:sz w:val="22"/>
          <w:szCs w:val="22"/>
        </w:rPr>
        <w:t xml:space="preserve">) y saturación en el pool de conexiones de PostgreSQL. Para ambientes estables en desarrollo, se recomienda limitar la concurrencia a un máximo de </w:t>
      </w:r>
      <w:r>
        <w:rPr>
          <w:rStyle w:val="Fuerte"/>
          <w:rFonts w:ascii="Calibri" w:hAnsi="Calibri" w:cs="Calibri"/>
          <w:sz w:val="22"/>
          <w:szCs w:val="22"/>
        </w:rPr>
        <w:t>12 a 15 hilos</w:t>
      </w:r>
      <w:r>
        <w:rPr>
          <w:rFonts w:ascii="Calibri" w:hAnsi="Calibri" w:cs="Calibri"/>
          <w:sz w:val="22"/>
          <w:szCs w:val="22"/>
        </w:rPr>
        <w:t>.</w:t>
      </w:r>
    </w:p>
    <w:p w14:paraId="2397CEF9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A520E4">
          <v:rect id="_x0000_i1031" style="width:0;height:1.5pt" o:hralign="center" o:hrstd="t" o:hr="t" fillcolor="#a0a0a0" stroked="f"/>
        </w:pict>
      </w:r>
    </w:p>
    <w:p w14:paraId="11EBFB6E" w14:textId="77777777" w:rsidR="009C7F54" w:rsidRDefault="009C7F5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Riesgos de crecimiento y volumen</w:t>
      </w:r>
    </w:p>
    <w:p w14:paraId="25195DB0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una proyección de ~15,000 CURPs procesadas en mayo:</w:t>
      </w:r>
    </w:p>
    <w:p w14:paraId="592C01A7" w14:textId="77777777" w:rsidR="009C7F54" w:rsidRDefault="009C7F54" w:rsidP="009C7F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tabla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 xml:space="preserve"> acumulará registros rápidamente. Se proyecta un crecimiento de 180,000 registros anuales, lo que justifica plenamente los índices creados sobre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id_cct</w:t>
      </w:r>
      <w:r>
        <w:rPr>
          <w:rFonts w:ascii="Calibri" w:eastAsia="Times New Roman" w:hAnsi="Calibri" w:cs="Calibri"/>
        </w:rPr>
        <w:t>.</w:t>
      </w:r>
    </w:p>
    <w:p w14:paraId="08483FE9" w14:textId="77777777" w:rsidR="009C7F54" w:rsidRDefault="009C7F54" w:rsidP="009C7F5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tabla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 xml:space="preserve"> crece a razón de 3 a 5 eventos por CURP con errores, requiriendo un plan de retención preventiva a partir del trimestre de junio.</w:t>
      </w:r>
    </w:p>
    <w:p w14:paraId="56C871C2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EBADA8">
          <v:rect id="_x0000_i1032" style="width:0;height:1.5pt" o:hralign="center" o:hrstd="t" o:hr="t" fillcolor="#a0a0a0" stroked="f"/>
        </w:pict>
      </w:r>
    </w:p>
    <w:p w14:paraId="62C10E72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14:paraId="235405A1" w14:textId="77777777" w:rsidR="009C7F54" w:rsidRDefault="009C7F54" w:rsidP="009C7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Contención de Pool relacional:</w:t>
      </w:r>
      <w:r>
        <w:rPr>
          <w:rFonts w:ascii="Calibri" w:eastAsia="Times New Roman" w:hAnsi="Calibri" w:cs="Calibri"/>
        </w:rPr>
        <w:t xml:space="preserve"> La concurrencia desmedida sin ajuste de timeout en DEV puede provocar hilos caídos.</w:t>
      </w:r>
    </w:p>
    <w:p w14:paraId="6968BFA3" w14:textId="77777777" w:rsidR="009C7F54" w:rsidRDefault="009C7F54" w:rsidP="009C7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Volatilidad de red:</w:t>
      </w:r>
      <w:r>
        <w:rPr>
          <w:rFonts w:ascii="Calibri" w:eastAsia="Times New Roman" w:hAnsi="Calibri" w:cs="Calibri"/>
        </w:rPr>
        <w:t xml:space="preserve"> Los reintentos del orquestador incrementan exponencialmente las inserciones duplicadas si no se controlan con cláusulas </w:t>
      </w:r>
      <w:r>
        <w:rPr>
          <w:rStyle w:val="CdigoHTML"/>
        </w:rPr>
        <w:t>ON CONFLICT</w:t>
      </w:r>
      <w:r>
        <w:rPr>
          <w:rFonts w:ascii="Calibri" w:eastAsia="Times New Roman" w:hAnsi="Calibri" w:cs="Calibri"/>
        </w:rPr>
        <w:t xml:space="preserve"> en PostgreSQL.</w:t>
      </w:r>
    </w:p>
    <w:p w14:paraId="728CBB5C" w14:textId="77777777" w:rsidR="009C7F54" w:rsidRDefault="009C7F5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 de Cierre</w:t>
      </w:r>
    </w:p>
    <w:p w14:paraId="1BFCAEE3" w14:textId="77777777" w:rsidR="009C7F54" w:rsidRDefault="009C7F54" w:rsidP="009C7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Implementar los índices medidos de mayo de forma permanente.</w:t>
      </w:r>
    </w:p>
    <w:p w14:paraId="47CDF4AF" w14:textId="77777777" w:rsidR="009C7F54" w:rsidRDefault="009C7F54" w:rsidP="009C7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Proponer reglas de partición mensual para tablas operativas en junio.</w:t>
      </w:r>
    </w:p>
    <w:p w14:paraId="4330BC95" w14:textId="77777777" w:rsidR="009C7F54" w:rsidRDefault="009C7F54" w:rsidP="009C7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Consolidar gráficas tridimensionales comparativas rumbo al 30 de junio.</w:t>
      </w:r>
    </w:p>
    <w:p w14:paraId="3FBF8642" w14:textId="77777777" w:rsidR="009C7F54" w:rsidRDefault="009C7F5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271F647">
          <v:rect id="_x0000_i1033" style="width:0;height:1.5pt" o:hralign="center" o:hrstd="t" o:hr="t" fillcolor="#a0a0a0" stroked="f"/>
        </w:pict>
      </w:r>
    </w:p>
    <w:p w14:paraId="318E5B8F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3D5B3EA9" w14:textId="77777777" w:rsidR="009C7F54" w:rsidRDefault="009C7F5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mayo debe dejar evidencia medible y separada de la línea base de abril, para que junio pueda consolidar comparativos trimestrales</w:t>
      </w:r>
      <w:r>
        <w:rPr>
          <w:rFonts w:ascii="MS Mincho" w:eastAsia="MS Mincho" w:hAnsi="MS Mincho" w:cs="MS Mincho" w:hint="eastAsia"/>
          <w:sz w:val="22"/>
          <w:szCs w:val="22"/>
        </w:rPr>
        <w:t>高度</w:t>
      </w:r>
      <w:r>
        <w:rPr>
          <w:rFonts w:ascii="Calibri" w:hAnsi="Calibri" w:cs="Calibri"/>
          <w:sz w:val="22"/>
          <w:szCs w:val="22"/>
        </w:rPr>
        <w:t xml:space="preserve"> fidedignos.</w:t>
      </w:r>
    </w:p>
    <w:p w14:paraId="35E8FE64" w14:textId="77777777" w:rsidR="009C7F54" w:rsidRDefault="009C7F5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br w:type="page"/>
      </w:r>
    </w:p>
    <w:bookmarkEnd w:id="0"/>
    <w:bookmarkEnd w:id="1"/>
    <w:bookmarkEnd w:id="2"/>
    <w:p w14:paraId="6BC05973" w14:textId="77777777" w:rsidR="009C7F54" w:rsidRDefault="009C7F54" w:rsidP="0076298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</w:p>
    <w:p w14:paraId="488F7A54" w14:textId="467403BE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03680" w14:textId="77777777" w:rsidR="004472DB" w:rsidRPr="00F35958" w:rsidRDefault="004472DB" w:rsidP="00997E2E">
      <w:r w:rsidRPr="00F35958">
        <w:separator/>
      </w:r>
    </w:p>
  </w:endnote>
  <w:endnote w:type="continuationSeparator" w:id="0">
    <w:p w14:paraId="2A02FBB3" w14:textId="77777777" w:rsidR="004472DB" w:rsidRPr="00F35958" w:rsidRDefault="004472DB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3" w:name="_Hlk195261366"/>
    <w:bookmarkStart w:id="4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3"/>
  <w:bookmarkEnd w:id="4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F2B4A" w14:textId="77777777" w:rsidR="004472DB" w:rsidRPr="00F35958" w:rsidRDefault="004472DB" w:rsidP="00997E2E">
      <w:r w:rsidRPr="00F35958">
        <w:separator/>
      </w:r>
    </w:p>
  </w:footnote>
  <w:footnote w:type="continuationSeparator" w:id="0">
    <w:p w14:paraId="683E58B5" w14:textId="77777777" w:rsidR="004472DB" w:rsidRPr="00F35958" w:rsidRDefault="004472DB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336CA3"/>
    <w:multiLevelType w:val="multilevel"/>
    <w:tmpl w:val="D65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844A5F"/>
    <w:multiLevelType w:val="multilevel"/>
    <w:tmpl w:val="E94A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B2775"/>
    <w:multiLevelType w:val="multilevel"/>
    <w:tmpl w:val="DAB4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402485"/>
    <w:multiLevelType w:val="multilevel"/>
    <w:tmpl w:val="5AC0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57370"/>
    <w:multiLevelType w:val="multilevel"/>
    <w:tmpl w:val="AAA8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2E6821"/>
    <w:multiLevelType w:val="multilevel"/>
    <w:tmpl w:val="9D7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5"/>
  </w:num>
  <w:num w:numId="8" w16cid:durableId="1187519976">
    <w:abstractNumId w:val="11"/>
  </w:num>
  <w:num w:numId="9" w16cid:durableId="774518276">
    <w:abstractNumId w:val="7"/>
  </w:num>
  <w:num w:numId="10" w16cid:durableId="2009867063">
    <w:abstractNumId w:val="12"/>
  </w:num>
  <w:num w:numId="11" w16cid:durableId="1924602666">
    <w:abstractNumId w:val="16"/>
  </w:num>
  <w:num w:numId="12" w16cid:durableId="2021344936">
    <w:abstractNumId w:val="2"/>
  </w:num>
  <w:num w:numId="13" w16cid:durableId="111873088">
    <w:abstractNumId w:val="17"/>
  </w:num>
  <w:num w:numId="14" w16cid:durableId="982657910">
    <w:abstractNumId w:val="13"/>
  </w:num>
  <w:num w:numId="15" w16cid:durableId="923611804">
    <w:abstractNumId w:val="10"/>
  </w:num>
  <w:num w:numId="16" w16cid:durableId="1727334306">
    <w:abstractNumId w:val="14"/>
  </w:num>
  <w:num w:numId="17" w16cid:durableId="1731730210">
    <w:abstractNumId w:val="8"/>
  </w:num>
  <w:num w:numId="18" w16cid:durableId="522287618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472DB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60D5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9C7F54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C7F54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C7F54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9C7F5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9C7F54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992</Words>
  <Characters>5458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68</cp:revision>
  <cp:lastPrinted>2026-01-20T21:57:00Z</cp:lastPrinted>
  <dcterms:created xsi:type="dcterms:W3CDTF">2026-02-13T01:04:00Z</dcterms:created>
  <dcterms:modified xsi:type="dcterms:W3CDTF">2026-06-01T20:55:00Z</dcterms:modified>
  <cp:category/>
</cp:coreProperties>
</file>