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CBD80" w14:textId="77777777" w:rsidR="0071237E" w:rsidRDefault="0071237E">
      <w:pPr>
        <w:pStyle w:val="Ttulo1"/>
        <w:rPr>
          <w:rFonts w:ascii="Calibri" w:eastAsia="Times New Roman" w:hAnsi="Calibri" w:cs="Calibri"/>
        </w:rPr>
      </w:pPr>
      <w:bookmarkStart w:id="0" w:name="_Toc217296775"/>
      <w:bookmarkStart w:id="1" w:name="_Toc219739752"/>
      <w:bookmarkStart w:id="2" w:name="_Toc221820033"/>
      <w:r>
        <w:rPr>
          <w:rFonts w:ascii="Calibri" w:eastAsia="Times New Roman" w:hAnsi="Calibri" w:cs="Calibri"/>
        </w:rPr>
        <w:t>Reporte Mensual de Monitoreo y Alertamiento</w:t>
      </w:r>
    </w:p>
    <w:p w14:paraId="640EC26C" w14:textId="77777777" w:rsidR="0071237E" w:rsidRDefault="0071237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Mayo 2026 </w:t>
      </w:r>
    </w:p>
    <w:p w14:paraId="25458ACB" w14:textId="77777777" w:rsidR="0071237E" w:rsidRDefault="0071237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Larea Polanco </w:t>
      </w:r>
    </w:p>
    <w:p w14:paraId="77EA5440" w14:textId="77777777" w:rsidR="0071237E" w:rsidRDefault="0071237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14:paraId="73AF1887" w14:textId="77777777" w:rsidR="0071237E" w:rsidRDefault="0071237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B473948">
          <v:rect id="_x0000_i1025" style="width:0;height:1.5pt" o:hralign="center" o:hrstd="t" o:hr="t" fillcolor="#a0a0a0" stroked="f"/>
        </w:pict>
      </w:r>
    </w:p>
    <w:p w14:paraId="1F4CE7DC" w14:textId="77777777" w:rsidR="0071237E" w:rsidRDefault="0071237E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14:paraId="64679D4A" w14:textId="77777777" w:rsidR="0071237E" w:rsidRDefault="0071237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Registrar el avance exclusivo del mes de mayo de 2026 sobre monitoreo, </w:t>
      </w:r>
      <w:proofErr w:type="spellStart"/>
      <w:r>
        <w:rPr>
          <w:rFonts w:ascii="Calibri" w:hAnsi="Calibri" w:cs="Calibri"/>
          <w:sz w:val="22"/>
          <w:szCs w:val="22"/>
        </w:rPr>
        <w:t>observabilidad</w:t>
      </w:r>
      <w:proofErr w:type="spellEnd"/>
      <w:r>
        <w:rPr>
          <w:rFonts w:ascii="Calibri" w:hAnsi="Calibri" w:cs="Calibri"/>
          <w:sz w:val="22"/>
          <w:szCs w:val="22"/>
        </w:rPr>
        <w:t xml:space="preserve"> y alertamiento preventivo de base de datos, </w:t>
      </w:r>
      <w:proofErr w:type="spellStart"/>
      <w:r>
        <w:rPr>
          <w:rFonts w:ascii="Calibri" w:hAnsi="Calibri" w:cs="Calibri"/>
          <w:sz w:val="22"/>
          <w:szCs w:val="22"/>
        </w:rPr>
        <w:t>APIs</w:t>
      </w:r>
      <w:proofErr w:type="spellEnd"/>
      <w:r>
        <w:rPr>
          <w:rFonts w:ascii="Calibri" w:hAnsi="Calibri" w:cs="Calibri"/>
          <w:sz w:val="22"/>
          <w:szCs w:val="22"/>
        </w:rPr>
        <w:t xml:space="preserve"> y pipelines, privilegiando métricas reales capturadas por bitácoras, incidencias operativas analizadas y la sintonía final de los umbrales de alerta técnicos.</w:t>
      </w:r>
    </w:p>
    <w:p w14:paraId="760A0CD3" w14:textId="77777777" w:rsidR="0071237E" w:rsidRDefault="0071237E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Criterio de Separación por Mes</w:t>
      </w:r>
    </w:p>
    <w:p w14:paraId="7A9AFEE6" w14:textId="77777777" w:rsidR="0071237E" w:rsidRDefault="0071237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En contraste con el marco general e hipotético diseñado en abril (el cual definió la viabilidad teórica de las herramientas y logs), en mayo se documentan de forma exclusiva:</w:t>
      </w:r>
    </w:p>
    <w:p w14:paraId="2731AE53" w14:textId="77777777" w:rsidR="0071237E" w:rsidRDefault="0071237E" w:rsidP="0071237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Mediciones y trazas de tiempo por lote reales acumuladas.</w:t>
      </w:r>
    </w:p>
    <w:p w14:paraId="37F967DE" w14:textId="77777777" w:rsidR="0071237E" w:rsidRDefault="0071237E" w:rsidP="0071237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Eventos de alarma reales que saltaron durante la operación mensual en DEV.</w:t>
      </w:r>
    </w:p>
    <w:p w14:paraId="76126E96" w14:textId="77777777" w:rsidR="0071237E" w:rsidRDefault="0071237E" w:rsidP="0071237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Ajustes ejecutados sobre umbrales de tolerancia técnica.</w:t>
      </w:r>
    </w:p>
    <w:p w14:paraId="3C296083" w14:textId="77777777" w:rsidR="0071237E" w:rsidRDefault="0071237E" w:rsidP="0071237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Evidencias de simulación de alertas proactivas.</w:t>
      </w:r>
    </w:p>
    <w:p w14:paraId="1A684A59" w14:textId="77777777" w:rsidR="0071237E" w:rsidRDefault="0071237E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Enfoque de Trabajo para Mayo</w:t>
      </w:r>
    </w:p>
    <w:p w14:paraId="2DF8FA1F" w14:textId="77777777" w:rsidR="0071237E" w:rsidRDefault="0071237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Durante mayo, la </w:t>
      </w:r>
      <w:proofErr w:type="spellStart"/>
      <w:r>
        <w:rPr>
          <w:rFonts w:ascii="Calibri" w:hAnsi="Calibri" w:cs="Calibri"/>
          <w:sz w:val="22"/>
          <w:szCs w:val="22"/>
        </w:rPr>
        <w:t>observabilidad</w:t>
      </w:r>
      <w:proofErr w:type="spellEnd"/>
      <w:r>
        <w:rPr>
          <w:rFonts w:ascii="Calibri" w:hAnsi="Calibri" w:cs="Calibri"/>
          <w:sz w:val="22"/>
          <w:szCs w:val="22"/>
        </w:rPr>
        <w:t xml:space="preserve"> dejó de ser una serie de definiciones abstractas y se instrumentó a través de un monitoreo estructurado basado en la consistencia de:</w:t>
      </w:r>
    </w:p>
    <w:p w14:paraId="43A03D2B" w14:textId="77777777" w:rsidR="0071237E" w:rsidRDefault="0071237E" w:rsidP="0071237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CdigoHTML"/>
        </w:rPr>
        <w:t>logging_utils.py</w:t>
      </w:r>
      <w:r>
        <w:rPr>
          <w:rFonts w:ascii="Calibri" w:eastAsia="Times New Roman" w:hAnsi="Calibri" w:cs="Calibri"/>
        </w:rPr>
        <w:t xml:space="preserve"> como emisor centralizador de eventos.</w:t>
      </w:r>
    </w:p>
    <w:p w14:paraId="75578684" w14:textId="77777777" w:rsidR="0071237E" w:rsidRDefault="0071237E" w:rsidP="0071237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CdigoHTML"/>
        </w:rPr>
        <w:t>app_errors.log</w:t>
      </w:r>
      <w:r>
        <w:rPr>
          <w:rFonts w:ascii="Calibri" w:eastAsia="Times New Roman" w:hAnsi="Calibri" w:cs="Calibri"/>
        </w:rPr>
        <w:t xml:space="preserve"> como bitácora de anomalías operacionales.</w:t>
      </w:r>
    </w:p>
    <w:p w14:paraId="39D0655F" w14:textId="77777777" w:rsidR="0071237E" w:rsidRDefault="0071237E" w:rsidP="0071237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proofErr w:type="spellStart"/>
      <w:r>
        <w:rPr>
          <w:rStyle w:val="CdigoHTML"/>
        </w:rPr>
        <w:t>BitacoraEvento</w:t>
      </w:r>
      <w:proofErr w:type="spellEnd"/>
      <w:r>
        <w:rPr>
          <w:rFonts w:ascii="Calibri" w:eastAsia="Times New Roman" w:hAnsi="Calibri" w:cs="Calibri"/>
        </w:rPr>
        <w:t xml:space="preserve"> como persistencia de auditoría cruzada relacional.</w:t>
      </w:r>
    </w:p>
    <w:p w14:paraId="0ACDCB40" w14:textId="77777777" w:rsidR="0071237E" w:rsidRDefault="0071237E" w:rsidP="0071237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proofErr w:type="spellStart"/>
      <w:r>
        <w:rPr>
          <w:rFonts w:ascii="Calibri" w:eastAsia="Times New Roman" w:hAnsi="Calibri" w:cs="Calibri"/>
        </w:rPr>
        <w:t>Mapeadores</w:t>
      </w:r>
      <w:proofErr w:type="spellEnd"/>
      <w:r>
        <w:rPr>
          <w:rFonts w:ascii="Calibri" w:eastAsia="Times New Roman" w:hAnsi="Calibri" w:cs="Calibri"/>
        </w:rPr>
        <w:t xml:space="preserve"> automáticos de cuotas máximas de red.</w:t>
      </w:r>
    </w:p>
    <w:p w14:paraId="13FB12A5" w14:textId="77777777" w:rsidR="0071237E" w:rsidRDefault="0071237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66D735E">
          <v:rect id="_x0000_i1026" style="width:0;height:1.5pt" o:hralign="center" o:hrstd="t" o:hr="t" fillcolor="#a0a0a0" stroked="f"/>
        </w:pict>
      </w:r>
    </w:p>
    <w:p w14:paraId="220706DB" w14:textId="77777777" w:rsidR="0071237E" w:rsidRDefault="0071237E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4. Diagrama del Procedimiento Técnico de Mitigación y </w:t>
      </w:r>
      <w:proofErr w:type="spellStart"/>
      <w:r>
        <w:rPr>
          <w:rFonts w:ascii="Calibri" w:eastAsia="Times New Roman" w:hAnsi="Calibri" w:cs="Calibri"/>
        </w:rPr>
        <w:t>Triage</w:t>
      </w:r>
      <w:proofErr w:type="spellEnd"/>
      <w:r>
        <w:rPr>
          <w:rFonts w:ascii="Calibri" w:eastAsia="Times New Roman" w:hAnsi="Calibri" w:cs="Calibri"/>
        </w:rPr>
        <w:t xml:space="preserve"> (</w:t>
      </w:r>
      <w:proofErr w:type="spellStart"/>
      <w:r>
        <w:rPr>
          <w:rFonts w:ascii="Calibri" w:eastAsia="Times New Roman" w:hAnsi="Calibri" w:cs="Calibri"/>
        </w:rPr>
        <w:t>Mermaid</w:t>
      </w:r>
      <w:proofErr w:type="spellEnd"/>
      <w:r>
        <w:rPr>
          <w:rFonts w:ascii="Calibri" w:eastAsia="Times New Roman" w:hAnsi="Calibri" w:cs="Calibri"/>
        </w:rPr>
        <w:t>)</w:t>
      </w:r>
    </w:p>
    <w:p w14:paraId="029EBAE8" w14:textId="77777777" w:rsidR="0071237E" w:rsidRDefault="0071237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El siguiente gráfico detalla el ciclo de vida automatizado y manual aplicado ante una alerta técnica de nivel preventivo o crítico durante las ejecuciones de mayo:</w:t>
      </w:r>
    </w:p>
    <w:p w14:paraId="1E75045D" w14:textId="77777777" w:rsidR="0071237E" w:rsidRDefault="0071237E">
      <w:pPr>
        <w:pStyle w:val="HTMLconformatoprevio"/>
      </w:pPr>
    </w:p>
    <w:p w14:paraId="0A353277" w14:textId="77777777" w:rsidR="0071237E" w:rsidRDefault="0071237E">
      <w:pPr>
        <w:pStyle w:val="HTMLconformatoprevio"/>
      </w:pPr>
      <w:proofErr w:type="spellStart"/>
      <w:r>
        <w:t>flowchart</w:t>
      </w:r>
      <w:proofErr w:type="spellEnd"/>
      <w:r>
        <w:t xml:space="preserve"> TD</w:t>
      </w:r>
    </w:p>
    <w:p w14:paraId="35DDBF12" w14:textId="77777777" w:rsidR="0071237E" w:rsidRDefault="0071237E">
      <w:pPr>
        <w:pStyle w:val="HTMLconformatoprevio"/>
      </w:pPr>
      <w:r>
        <w:t xml:space="preserve">    A[Detección de Anomalía en Bitácora] --&gt; B{¿Es error HTTP 429 de Rate </w:t>
      </w:r>
      <w:proofErr w:type="spellStart"/>
      <w:r>
        <w:t>limit</w:t>
      </w:r>
      <w:proofErr w:type="spellEnd"/>
      <w:r>
        <w:t>?}</w:t>
      </w:r>
    </w:p>
    <w:p w14:paraId="16F7E617" w14:textId="77777777" w:rsidR="0071237E" w:rsidRDefault="0071237E">
      <w:pPr>
        <w:pStyle w:val="HTMLconformatoprevio"/>
      </w:pPr>
      <w:r>
        <w:t xml:space="preserve">    B -- Sí --&gt; C[Activar Pausa Dinámica de Back-off]</w:t>
      </w:r>
    </w:p>
    <w:p w14:paraId="3F42BDF2" w14:textId="77777777" w:rsidR="0071237E" w:rsidRDefault="0071237E">
      <w:pPr>
        <w:pStyle w:val="HTMLconformatoprevio"/>
      </w:pPr>
      <w:r>
        <w:t xml:space="preserve">    C --&gt; D{¿Persiste error en el lote?}</w:t>
      </w:r>
    </w:p>
    <w:p w14:paraId="7E7DD297" w14:textId="77777777" w:rsidR="0071237E" w:rsidRDefault="0071237E">
      <w:pPr>
        <w:pStyle w:val="HTMLconformatoprevio"/>
      </w:pPr>
      <w:r>
        <w:t xml:space="preserve">    D -- Sí --&gt; E[Alerta Crítica: Detener Lote Temporalmente]</w:t>
      </w:r>
    </w:p>
    <w:p w14:paraId="3C04D75A" w14:textId="77777777" w:rsidR="0071237E" w:rsidRDefault="0071237E">
      <w:pPr>
        <w:pStyle w:val="HTMLconformatoprevio"/>
      </w:pPr>
      <w:r>
        <w:t xml:space="preserve">    D -- No --&gt; F[Alerta Informativa: Lote completado]</w:t>
      </w:r>
    </w:p>
    <w:p w14:paraId="20C67223" w14:textId="77777777" w:rsidR="0071237E" w:rsidRDefault="0071237E">
      <w:pPr>
        <w:pStyle w:val="HTMLconformatoprevio"/>
      </w:pPr>
      <w:r>
        <w:t xml:space="preserve">    B -- No --&gt; G{¿Es error de validación de CURP?}</w:t>
      </w:r>
    </w:p>
    <w:p w14:paraId="78156567" w14:textId="77777777" w:rsidR="0071237E" w:rsidRDefault="0071237E">
      <w:pPr>
        <w:pStyle w:val="HTMLconformatoprevio"/>
      </w:pPr>
      <w:r>
        <w:t xml:space="preserve">    G -- Sí --&gt; H[Aislar CURP en </w:t>
      </w:r>
      <w:proofErr w:type="spellStart"/>
      <w:r>
        <w:t>depuracion_errores.json</w:t>
      </w:r>
      <w:proofErr w:type="spellEnd"/>
      <w:r>
        <w:t>]</w:t>
      </w:r>
    </w:p>
    <w:p w14:paraId="67E02590" w14:textId="77777777" w:rsidR="0071237E" w:rsidRDefault="0071237E">
      <w:pPr>
        <w:pStyle w:val="HTMLconformatoprevio"/>
      </w:pPr>
      <w:r>
        <w:t xml:space="preserve">    G -- No --&gt; I[Alerta Preventiva: Error de Red / </w:t>
      </w:r>
      <w:proofErr w:type="spellStart"/>
      <w:r>
        <w:t>Timeout</w:t>
      </w:r>
      <w:proofErr w:type="spellEnd"/>
      <w:r>
        <w:t>]</w:t>
      </w:r>
    </w:p>
    <w:p w14:paraId="1D0DFCFA" w14:textId="77777777" w:rsidR="0071237E" w:rsidRDefault="0071237E">
      <w:pPr>
        <w:pStyle w:val="HTMLconformatoprevio"/>
      </w:pPr>
      <w:r>
        <w:t xml:space="preserve">    H --&gt; J[Lote Continúa]</w:t>
      </w:r>
    </w:p>
    <w:p w14:paraId="3CAEB95E" w14:textId="77777777" w:rsidR="0071237E" w:rsidRDefault="0071237E">
      <w:pPr>
        <w:pStyle w:val="HTMLconformatoprevio"/>
      </w:pPr>
      <w:r>
        <w:t xml:space="preserve">    I --&gt; K[Reintento Automático de Consulta &lt; 3 veces]</w:t>
      </w:r>
    </w:p>
    <w:p w14:paraId="160A2DFB" w14:textId="77777777" w:rsidR="0071237E" w:rsidRDefault="0071237E">
      <w:pPr>
        <w:pStyle w:val="HTMLconformatoprevio"/>
      </w:pPr>
      <w:r>
        <w:t xml:space="preserve">    K --&gt; L{¿Consigue PDF?}</w:t>
      </w:r>
    </w:p>
    <w:p w14:paraId="1F92C011" w14:textId="77777777" w:rsidR="0071237E" w:rsidRDefault="0071237E">
      <w:pPr>
        <w:pStyle w:val="HTMLconformatoprevio"/>
      </w:pPr>
      <w:r>
        <w:t xml:space="preserve">    L -- Sí --&gt; F</w:t>
      </w:r>
    </w:p>
    <w:p w14:paraId="5BDF0366" w14:textId="77777777" w:rsidR="0071237E" w:rsidRDefault="0071237E">
      <w:pPr>
        <w:pStyle w:val="HTMLconformatoprevio"/>
      </w:pPr>
      <w:r>
        <w:t xml:space="preserve">    L -- No --&gt; M[Marcar Registro como FALLO en BD]</w:t>
      </w:r>
    </w:p>
    <w:p w14:paraId="159234E0" w14:textId="77777777" w:rsidR="0071237E" w:rsidRDefault="0071237E">
      <w:pPr>
        <w:pStyle w:val="HTMLconformatoprevio"/>
      </w:pPr>
      <w:r>
        <w:t xml:space="preserve">    M --&gt; N[Aviso de Soporte: Ejecución de Reproceso Manual]</w:t>
      </w:r>
    </w:p>
    <w:p w14:paraId="25034088" w14:textId="77777777" w:rsidR="0071237E" w:rsidRDefault="0071237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FEFD2C9">
          <v:rect id="_x0000_i1027" style="width:0;height:1.5pt" o:hralign="center" o:hrstd="t" o:hr="t" fillcolor="#a0a0a0" stroked="f"/>
        </w:pict>
      </w:r>
    </w:p>
    <w:p w14:paraId="08CF5C01" w14:textId="77777777" w:rsidR="0071237E" w:rsidRDefault="0071237E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Evidencias y Pruebas del Esquema de Monitoreo en Mayo</w:t>
      </w:r>
    </w:p>
    <w:p w14:paraId="1609477E" w14:textId="77777777" w:rsidR="0071237E" w:rsidRDefault="0071237E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 Métricas de Monitoreo Capturadas en el Mes</w:t>
      </w:r>
    </w:p>
    <w:p w14:paraId="7D0857EE" w14:textId="77777777" w:rsidR="0071237E" w:rsidRDefault="0071237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Durante mayo se capturaron métricas fidedignas de ejecución operacional mediante scripts automáticos de escaneo aplicados sobre </w:t>
      </w:r>
      <w:r>
        <w:rPr>
          <w:rStyle w:val="CdigoHTML"/>
        </w:rPr>
        <w:t>logs/app_errors.log</w:t>
      </w:r>
      <w:r>
        <w:rPr>
          <w:rFonts w:ascii="Calibri" w:hAnsi="Calibri" w:cs="Calibri"/>
          <w:sz w:val="22"/>
          <w:szCs w:val="22"/>
        </w:rPr>
        <w:t xml:space="preserve"> y de agregados en base de datos:</w:t>
      </w:r>
    </w:p>
    <w:p w14:paraId="44223747" w14:textId="77777777" w:rsidR="0071237E" w:rsidRDefault="0071237E" w:rsidP="0071237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 xml:space="preserve">Tiempo de ejecución promedio por </w:t>
      </w:r>
      <w:proofErr w:type="spellStart"/>
      <w:r>
        <w:rPr>
          <w:rStyle w:val="Fuerte"/>
          <w:rFonts w:ascii="Calibri" w:eastAsia="Times New Roman" w:hAnsi="Calibri" w:cs="Calibri"/>
        </w:rPr>
        <w:t>sub-lote</w:t>
      </w:r>
      <w:proofErr w:type="spellEnd"/>
      <w:r>
        <w:rPr>
          <w:rStyle w:val="Fuerte"/>
          <w:rFonts w:ascii="Calibri" w:eastAsia="Times New Roman" w:hAnsi="Calibri" w:cs="Calibri"/>
        </w:rPr>
        <w:t xml:space="preserve"> (5,000 registros):</w:t>
      </w:r>
      <w:r>
        <w:rPr>
          <w:rFonts w:ascii="Calibri" w:eastAsia="Times New Roman" w:hAnsi="Calibri" w:cs="Calibri"/>
        </w:rPr>
        <w:t xml:space="preserve"> </w:t>
      </w:r>
      <w:r>
        <w:rPr>
          <w:rStyle w:val="Fuerte"/>
          <w:rFonts w:ascii="Calibri" w:eastAsia="Times New Roman" w:hAnsi="Calibri" w:cs="Calibri"/>
        </w:rPr>
        <w:t>14 minutos</w:t>
      </w:r>
      <w:r>
        <w:rPr>
          <w:rFonts w:ascii="Calibri" w:eastAsia="Times New Roman" w:hAnsi="Calibri" w:cs="Calibri"/>
        </w:rPr>
        <w:t xml:space="preserve"> operando estable con la sintonía óptima de </w:t>
      </w:r>
      <w:r>
        <w:rPr>
          <w:rStyle w:val="CdigoHTML"/>
        </w:rPr>
        <w:t>WORKERS=12</w:t>
      </w:r>
      <w:r>
        <w:rPr>
          <w:rFonts w:ascii="Calibri" w:eastAsia="Times New Roman" w:hAnsi="Calibri" w:cs="Calibri"/>
        </w:rPr>
        <w:t>.</w:t>
      </w:r>
    </w:p>
    <w:p w14:paraId="6FAF7555" w14:textId="77777777" w:rsidR="0071237E" w:rsidRDefault="0071237E" w:rsidP="0071237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 xml:space="preserve">Tasa de Descargas Exitosas de </w:t>
      </w:r>
      <w:proofErr w:type="spellStart"/>
      <w:r>
        <w:rPr>
          <w:rStyle w:val="Fuerte"/>
          <w:rFonts w:ascii="Calibri" w:eastAsia="Times New Roman" w:hAnsi="Calibri" w:cs="Calibri"/>
        </w:rPr>
        <w:t>PDFs</w:t>
      </w:r>
      <w:proofErr w:type="spellEnd"/>
      <w:r>
        <w:rPr>
          <w:rStyle w:val="Fuerte"/>
          <w:rFonts w:ascii="Calibri" w:eastAsia="Times New Roman" w:hAnsi="Calibri" w:cs="Calibri"/>
        </w:rPr>
        <w:t>:</w:t>
      </w:r>
      <w:r>
        <w:rPr>
          <w:rFonts w:ascii="Calibri" w:eastAsia="Times New Roman" w:hAnsi="Calibri" w:cs="Calibri"/>
        </w:rPr>
        <w:t xml:space="preserve"> Escenario inicial del </w:t>
      </w:r>
      <w:r>
        <w:rPr>
          <w:rStyle w:val="Fuerte"/>
          <w:rFonts w:ascii="Calibri" w:eastAsia="Times New Roman" w:hAnsi="Calibri" w:cs="Calibri"/>
        </w:rPr>
        <w:t>96.00%</w:t>
      </w:r>
      <w:r>
        <w:rPr>
          <w:rFonts w:ascii="Calibri" w:eastAsia="Times New Roman" w:hAnsi="Calibri" w:cs="Calibri"/>
        </w:rPr>
        <w:t xml:space="preserve"> (13,920 archivos generados del total de 14,500). Escenario optimizado con el reproceso del </w:t>
      </w:r>
      <w:r>
        <w:rPr>
          <w:rStyle w:val="Fuerte"/>
          <w:rFonts w:ascii="Calibri" w:eastAsia="Times New Roman" w:hAnsi="Calibri" w:cs="Calibri"/>
        </w:rPr>
        <w:t>98.82%</w:t>
      </w:r>
      <w:r>
        <w:rPr>
          <w:rFonts w:ascii="Calibri" w:eastAsia="Times New Roman" w:hAnsi="Calibri" w:cs="Calibri"/>
        </w:rPr>
        <w:t xml:space="preserve"> (14,330 descargas finales acumuladas).</w:t>
      </w:r>
    </w:p>
    <w:p w14:paraId="39353637" w14:textId="77777777" w:rsidR="0071237E" w:rsidRDefault="0071237E" w:rsidP="0071237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Lotes estancados ("Stuck Lotes"):</w:t>
      </w:r>
      <w:r>
        <w:rPr>
          <w:rFonts w:ascii="Calibri" w:eastAsia="Times New Roman" w:hAnsi="Calibri" w:cs="Calibri"/>
        </w:rPr>
        <w:t xml:space="preserve"> Se registró únicamente </w:t>
      </w:r>
      <w:r>
        <w:rPr>
          <w:rStyle w:val="Fuerte"/>
          <w:rFonts w:ascii="Calibri" w:eastAsia="Times New Roman" w:hAnsi="Calibri" w:cs="Calibri"/>
        </w:rPr>
        <w:t>1 evento</w:t>
      </w:r>
      <w:r>
        <w:rPr>
          <w:rFonts w:ascii="Calibri" w:eastAsia="Times New Roman" w:hAnsi="Calibri" w:cs="Calibri"/>
        </w:rPr>
        <w:t xml:space="preserve"> inusual de estancamiento de lote en Puebla (</w:t>
      </w:r>
      <w:r>
        <w:rPr>
          <w:rStyle w:val="CdigoHTML"/>
        </w:rPr>
        <w:t>LOTE-202605-02</w:t>
      </w:r>
      <w:r>
        <w:rPr>
          <w:rFonts w:ascii="Calibri" w:eastAsia="Times New Roman" w:hAnsi="Calibri" w:cs="Calibri"/>
        </w:rPr>
        <w:t>) por limitador de tasa de red externa.</w:t>
      </w:r>
    </w:p>
    <w:p w14:paraId="496DAB08" w14:textId="77777777" w:rsidR="0071237E" w:rsidRDefault="0071237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E764999">
          <v:rect id="_x0000_i1028" style="width:0;height:1.5pt" o:hralign="center" o:hrstd="t" o:hr="t" fillcolor="#a0a0a0" stroked="f"/>
        </w:pict>
      </w:r>
    </w:p>
    <w:p w14:paraId="0F471D96" w14:textId="77777777" w:rsidR="0071237E" w:rsidRDefault="0071237E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5.2 Ejemplo de Entrada de Bitácora Estructurada (JSON-</w:t>
      </w:r>
      <w:proofErr w:type="spellStart"/>
      <w:r>
        <w:rPr>
          <w:rFonts w:ascii="Calibri" w:eastAsia="Times New Roman" w:hAnsi="Calibri" w:cs="Calibri"/>
        </w:rPr>
        <w:t>ready</w:t>
      </w:r>
      <w:proofErr w:type="spellEnd"/>
      <w:r>
        <w:rPr>
          <w:rFonts w:ascii="Calibri" w:eastAsia="Times New Roman" w:hAnsi="Calibri" w:cs="Calibri"/>
        </w:rPr>
        <w:t xml:space="preserve"> Log)</w:t>
      </w:r>
    </w:p>
    <w:p w14:paraId="3646C881" w14:textId="77777777" w:rsidR="0071237E" w:rsidRDefault="0071237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 xml:space="preserve">A continuación se ilustra un ejemplo de log estructurado generado por la librería de utilerías durante la incidencia crítica de </w:t>
      </w:r>
      <w:proofErr w:type="spellStart"/>
      <w:r>
        <w:rPr>
          <w:rFonts w:ascii="Calibri" w:hAnsi="Calibri" w:cs="Calibri"/>
          <w:sz w:val="22"/>
          <w:szCs w:val="22"/>
        </w:rPr>
        <w:t>rate-limit</w:t>
      </w:r>
      <w:proofErr w:type="spellEnd"/>
      <w:r>
        <w:rPr>
          <w:rFonts w:ascii="Calibri" w:hAnsi="Calibri" w:cs="Calibri"/>
          <w:sz w:val="22"/>
          <w:szCs w:val="22"/>
        </w:rPr>
        <w:t xml:space="preserve"> en Puebla, mostrando la riqueza de variables de diagnóstico recolectadas:</w:t>
      </w:r>
    </w:p>
    <w:p w14:paraId="5486BB81" w14:textId="77777777" w:rsidR="0071237E" w:rsidRDefault="0071237E">
      <w:pPr>
        <w:pStyle w:val="HTMLconformatoprevio"/>
      </w:pPr>
    </w:p>
    <w:p w14:paraId="4FD41802" w14:textId="77777777" w:rsidR="0071237E" w:rsidRDefault="0071237E">
      <w:pPr>
        <w:pStyle w:val="HTMLconformatoprevio"/>
      </w:pPr>
      <w:r>
        <w:t>{</w:t>
      </w:r>
    </w:p>
    <w:p w14:paraId="16A9DDE5" w14:textId="77777777" w:rsidR="0071237E" w:rsidRDefault="0071237E">
      <w:pPr>
        <w:pStyle w:val="HTMLconformatoprevio"/>
      </w:pPr>
      <w:r>
        <w:t xml:space="preserve">  "</w:t>
      </w:r>
      <w:proofErr w:type="spellStart"/>
      <w:r>
        <w:t>timestamp</w:t>
      </w:r>
      <w:proofErr w:type="spellEnd"/>
      <w:r>
        <w:t>": "2026-05-10T14:15:22.951Z",</w:t>
      </w:r>
    </w:p>
    <w:p w14:paraId="0DB25384" w14:textId="77777777" w:rsidR="0071237E" w:rsidRDefault="0071237E">
      <w:pPr>
        <w:pStyle w:val="HTMLconformatoprevio"/>
      </w:pPr>
      <w:r>
        <w:t xml:space="preserve">  "</w:t>
      </w:r>
      <w:proofErr w:type="spellStart"/>
      <w:r>
        <w:t>level</w:t>
      </w:r>
      <w:proofErr w:type="spellEnd"/>
      <w:r>
        <w:t>": "ERROR",</w:t>
      </w:r>
    </w:p>
    <w:p w14:paraId="0D3AA0B5" w14:textId="77777777" w:rsidR="0071237E" w:rsidRDefault="0071237E">
      <w:pPr>
        <w:pStyle w:val="HTMLconformatoprevio"/>
      </w:pPr>
      <w:r>
        <w:t xml:space="preserve">  "</w:t>
      </w:r>
      <w:proofErr w:type="spellStart"/>
      <w:r>
        <w:t>component</w:t>
      </w:r>
      <w:proofErr w:type="spellEnd"/>
      <w:r>
        <w:t>": "imss_client.py",</w:t>
      </w:r>
    </w:p>
    <w:p w14:paraId="1D340A9C" w14:textId="77777777" w:rsidR="0071237E" w:rsidRDefault="0071237E">
      <w:pPr>
        <w:pStyle w:val="HTMLconformatoprevio"/>
      </w:pPr>
      <w:r>
        <w:t xml:space="preserve">  "</w:t>
      </w:r>
      <w:proofErr w:type="spellStart"/>
      <w:r>
        <w:t>event_type</w:t>
      </w:r>
      <w:proofErr w:type="spellEnd"/>
      <w:r>
        <w:t>": "RATE_LIMIT_EXCEEDED",</w:t>
      </w:r>
    </w:p>
    <w:p w14:paraId="7087C7C1" w14:textId="77777777" w:rsidR="0071237E" w:rsidRDefault="0071237E">
      <w:pPr>
        <w:pStyle w:val="HTMLconformatoprevio"/>
      </w:pPr>
      <w:r>
        <w:t xml:space="preserve">  "</w:t>
      </w:r>
      <w:proofErr w:type="spellStart"/>
      <w:r>
        <w:t>metrics</w:t>
      </w:r>
      <w:proofErr w:type="spellEnd"/>
      <w:r>
        <w:t>": {</w:t>
      </w:r>
    </w:p>
    <w:p w14:paraId="24072316" w14:textId="77777777" w:rsidR="0071237E" w:rsidRDefault="0071237E">
      <w:pPr>
        <w:pStyle w:val="HTMLconformatoprevio"/>
      </w:pPr>
      <w:r>
        <w:t xml:space="preserve">    "</w:t>
      </w:r>
      <w:proofErr w:type="spellStart"/>
      <w:r>
        <w:t>http_status</w:t>
      </w:r>
      <w:proofErr w:type="spellEnd"/>
      <w:r>
        <w:t>": 429,</w:t>
      </w:r>
    </w:p>
    <w:p w14:paraId="40D9D317" w14:textId="77777777" w:rsidR="0071237E" w:rsidRDefault="0071237E">
      <w:pPr>
        <w:pStyle w:val="HTMLconformatoprevio"/>
      </w:pPr>
      <w:r>
        <w:t xml:space="preserve">    "</w:t>
      </w:r>
      <w:proofErr w:type="spellStart"/>
      <w:r>
        <w:t>elapsed_ms</w:t>
      </w:r>
      <w:proofErr w:type="spellEnd"/>
      <w:r>
        <w:t>": 1342,</w:t>
      </w:r>
    </w:p>
    <w:p w14:paraId="7F83F9DC" w14:textId="77777777" w:rsidR="0071237E" w:rsidRDefault="0071237E">
      <w:pPr>
        <w:pStyle w:val="HTMLconformatoprevio"/>
      </w:pPr>
      <w:r>
        <w:t xml:space="preserve">    "</w:t>
      </w:r>
      <w:proofErr w:type="spellStart"/>
      <w:r>
        <w:t>workers_active</w:t>
      </w:r>
      <w:proofErr w:type="spellEnd"/>
      <w:r>
        <w:t>": 20,</w:t>
      </w:r>
    </w:p>
    <w:p w14:paraId="05156B54" w14:textId="77777777" w:rsidR="0071237E" w:rsidRDefault="0071237E">
      <w:pPr>
        <w:pStyle w:val="HTMLconformatoprevio"/>
      </w:pPr>
      <w:r>
        <w:t xml:space="preserve">    "</w:t>
      </w:r>
      <w:proofErr w:type="spellStart"/>
      <w:r>
        <w:t>current_id_lote</w:t>
      </w:r>
      <w:proofErr w:type="spellEnd"/>
      <w:r>
        <w:t>": "LOTE-202605-02"</w:t>
      </w:r>
    </w:p>
    <w:p w14:paraId="21C3397A" w14:textId="77777777" w:rsidR="0071237E" w:rsidRDefault="0071237E">
      <w:pPr>
        <w:pStyle w:val="HTMLconformatoprevio"/>
      </w:pPr>
      <w:r>
        <w:t xml:space="preserve">  },</w:t>
      </w:r>
    </w:p>
    <w:p w14:paraId="5980CD7E" w14:textId="77777777" w:rsidR="0071237E" w:rsidRDefault="0071237E">
      <w:pPr>
        <w:pStyle w:val="HTMLconformatoprevio"/>
      </w:pPr>
      <w:r>
        <w:t xml:space="preserve">  "</w:t>
      </w:r>
      <w:proofErr w:type="spellStart"/>
      <w:r>
        <w:t>context</w:t>
      </w:r>
      <w:proofErr w:type="spellEnd"/>
      <w:r>
        <w:t>": {</w:t>
      </w:r>
    </w:p>
    <w:p w14:paraId="3D584240" w14:textId="77777777" w:rsidR="0071237E" w:rsidRDefault="0071237E">
      <w:pPr>
        <w:pStyle w:val="HTMLconformatoprevio"/>
      </w:pPr>
      <w:r>
        <w:t xml:space="preserve">    "</w:t>
      </w:r>
      <w:proofErr w:type="spellStart"/>
      <w:r>
        <w:t>entity</w:t>
      </w:r>
      <w:proofErr w:type="spellEnd"/>
      <w:r>
        <w:t>": "Puebla",</w:t>
      </w:r>
    </w:p>
    <w:p w14:paraId="7DF2652B" w14:textId="77777777" w:rsidR="0071237E" w:rsidRDefault="0071237E">
      <w:pPr>
        <w:pStyle w:val="HTMLconformatoprevio"/>
      </w:pPr>
      <w:r>
        <w:t xml:space="preserve">    "</w:t>
      </w:r>
      <w:proofErr w:type="spellStart"/>
      <w:r>
        <w:t>curp_hash</w:t>
      </w:r>
      <w:proofErr w:type="spellEnd"/>
      <w:r>
        <w:t>": "a4d3b84179cbdeef2201aa2817dcd01a",</w:t>
      </w:r>
    </w:p>
    <w:p w14:paraId="57200D3E" w14:textId="77777777" w:rsidR="0071237E" w:rsidRDefault="0071237E">
      <w:pPr>
        <w:pStyle w:val="HTMLconformatoprevio"/>
      </w:pPr>
      <w:r>
        <w:t xml:space="preserve">    "</w:t>
      </w:r>
      <w:proofErr w:type="spellStart"/>
      <w:r>
        <w:t>retry_count</w:t>
      </w:r>
      <w:proofErr w:type="spellEnd"/>
      <w:r>
        <w:t>": 3</w:t>
      </w:r>
    </w:p>
    <w:p w14:paraId="03A8EFA6" w14:textId="77777777" w:rsidR="0071237E" w:rsidRDefault="0071237E">
      <w:pPr>
        <w:pStyle w:val="HTMLconformatoprevio"/>
      </w:pPr>
      <w:r>
        <w:t xml:space="preserve">  },</w:t>
      </w:r>
    </w:p>
    <w:p w14:paraId="02FE6AE8" w14:textId="77777777" w:rsidR="0071237E" w:rsidRDefault="0071237E">
      <w:pPr>
        <w:pStyle w:val="HTMLconformatoprevio"/>
      </w:pPr>
      <w:r>
        <w:t xml:space="preserve">  "</w:t>
      </w:r>
      <w:proofErr w:type="spellStart"/>
      <w:r>
        <w:t>message</w:t>
      </w:r>
      <w:proofErr w:type="spellEnd"/>
      <w:r>
        <w:t>": "Servicio IMSS devolvió código de error 429 (</w:t>
      </w:r>
      <w:proofErr w:type="spellStart"/>
      <w:r>
        <w:t>Too</w:t>
      </w:r>
      <w:proofErr w:type="spellEnd"/>
      <w:r>
        <w:t xml:space="preserve"> Many </w:t>
      </w:r>
      <w:proofErr w:type="spellStart"/>
      <w:r>
        <w:t>Requests</w:t>
      </w:r>
      <w:proofErr w:type="spellEnd"/>
      <w:r>
        <w:t>). Se superó la cuota mensual de transacciones paralelas asignadas. Se sugiere suspender lote y mitigar concurrencia de hilos."</w:t>
      </w:r>
    </w:p>
    <w:p w14:paraId="7557F136" w14:textId="77777777" w:rsidR="0071237E" w:rsidRDefault="0071237E">
      <w:pPr>
        <w:pStyle w:val="HTMLconformatoprevio"/>
      </w:pPr>
      <w:r>
        <w:t>}</w:t>
      </w:r>
    </w:p>
    <w:p w14:paraId="49CDA7E5" w14:textId="77777777" w:rsidR="0071237E" w:rsidRDefault="0071237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AF277F4">
          <v:rect id="_x0000_i1029" style="width:0;height:1.5pt" o:hralign="center" o:hrstd="t" o:hr="t" fillcolor="#a0a0a0" stroked="f"/>
        </w:pict>
      </w:r>
    </w:p>
    <w:p w14:paraId="71AECFBC" w14:textId="77777777" w:rsidR="0071237E" w:rsidRDefault="0071237E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5.3 Incidencias y alertas operadas durante mayo 2026</w:t>
      </w:r>
    </w:p>
    <w:p w14:paraId="5A644D71" w14:textId="77777777" w:rsidR="0071237E" w:rsidRDefault="0071237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histórico operativo de alertas procesadas por el área técnica se consolida en la siguiente matriz de control: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5"/>
        <w:gridCol w:w="1321"/>
        <w:gridCol w:w="2472"/>
        <w:gridCol w:w="2682"/>
        <w:gridCol w:w="1874"/>
      </w:tblGrid>
      <w:tr w:rsidR="0071237E" w14:paraId="5CFBFC55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FBC27D" w14:textId="77777777" w:rsidR="0071237E" w:rsidRDefault="0071237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Fecha de Evento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611877" w14:textId="77777777" w:rsidR="0071237E" w:rsidRDefault="0071237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Nivel de Alerta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F46C03" w14:textId="77777777" w:rsidR="0071237E" w:rsidRDefault="0071237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Mensaje de Alerta / Evento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E0A6AD" w14:textId="77777777" w:rsidR="0071237E" w:rsidRDefault="0071237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Acciones de Mitigación Realizadas en Mayo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6710CB" w14:textId="77777777" w:rsidR="0071237E" w:rsidRDefault="0071237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Resultado</w:t>
            </w:r>
          </w:p>
        </w:tc>
      </w:tr>
      <w:tr w:rsidR="0071237E" w14:paraId="4A980FD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0C38BF" w14:textId="77777777" w:rsidR="0071237E" w:rsidRDefault="0071237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2026-05-10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E9D87E" w14:textId="77777777" w:rsidR="0071237E" w:rsidRDefault="0071237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Preventivo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234333" w14:textId="77777777" w:rsidR="0071237E" w:rsidRDefault="0071237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Rate-</w:t>
            </w:r>
            <w:proofErr w:type="spellStart"/>
            <w:r>
              <w:rPr>
                <w:rFonts w:ascii="Calibri" w:eastAsia="Times New Roman" w:hAnsi="Calibri" w:cs="Calibri"/>
              </w:rPr>
              <w:t>limit</w:t>
            </w:r>
            <w:proofErr w:type="spellEnd"/>
            <w:r>
              <w:rPr>
                <w:rFonts w:ascii="Calibri" w:eastAsia="Times New Roman" w:hAnsi="Calibri" w:cs="Calibri"/>
              </w:rPr>
              <w:t xml:space="preserve"> (HTTP 429) en el servicio IMSS para Puebla.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D5C4CF" w14:textId="77777777" w:rsidR="0071237E" w:rsidRDefault="0071237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Intervención manual: parada de orquestador y cambio dinámico a </w:t>
            </w:r>
            <w:r>
              <w:rPr>
                <w:rStyle w:val="CdigoHTML"/>
              </w:rPr>
              <w:t>WORKERS=10</w:t>
            </w:r>
            <w:r>
              <w:rPr>
                <w:rFonts w:ascii="Calibri" w:eastAsia="Times New Roman" w:hAnsi="Calibri" w:cs="Calibri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EC0568" w14:textId="77777777" w:rsidR="0071237E" w:rsidRDefault="0071237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Éxito: estabilización del canal.</w:t>
            </w:r>
          </w:p>
        </w:tc>
      </w:tr>
      <w:tr w:rsidR="0071237E" w14:paraId="7208E33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A499A0" w14:textId="77777777" w:rsidR="0071237E" w:rsidRDefault="0071237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lastRenderedPageBreak/>
              <w:t>2026-05-15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A665E5" w14:textId="77777777" w:rsidR="0071237E" w:rsidRDefault="0071237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Informativo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9FC2B5" w14:textId="77777777" w:rsidR="0071237E" w:rsidRDefault="0071237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Lote </w:t>
            </w:r>
            <w:r>
              <w:rPr>
                <w:rStyle w:val="CdigoHTML"/>
              </w:rPr>
              <w:t>LOTE-202605-01</w:t>
            </w:r>
            <w:r>
              <w:rPr>
                <w:rFonts w:ascii="Calibri" w:eastAsia="Times New Roman" w:hAnsi="Calibri" w:cs="Calibri"/>
              </w:rPr>
              <w:t xml:space="preserve"> Veracruz cerrado adecuadamente.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FD5C4A" w14:textId="77777777" w:rsidR="0071237E" w:rsidRDefault="0071237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Validación cruzada automática lógica-física de </w:t>
            </w:r>
            <w:proofErr w:type="spellStart"/>
            <w:r>
              <w:rPr>
                <w:rFonts w:ascii="Calibri" w:eastAsia="Times New Roman" w:hAnsi="Calibri" w:cs="Calibri"/>
              </w:rPr>
              <w:t>PDFs</w:t>
            </w:r>
            <w:proofErr w:type="spellEnd"/>
            <w:r>
              <w:rPr>
                <w:rFonts w:ascii="Calibri" w:eastAsia="Times New Roman" w:hAnsi="Calibri" w:cs="Calibri"/>
              </w:rPr>
              <w:t xml:space="preserve"> y BD.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CA681C" w14:textId="77777777" w:rsidR="0071237E" w:rsidRDefault="0071237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Éxito: 100% de conciliación.</w:t>
            </w:r>
          </w:p>
        </w:tc>
      </w:tr>
      <w:tr w:rsidR="0071237E" w14:paraId="3562E91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01CEA8" w14:textId="77777777" w:rsidR="0071237E" w:rsidRDefault="0071237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2026-05-18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61F1DA" w14:textId="77777777" w:rsidR="0071237E" w:rsidRDefault="0071237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880479" w14:textId="77777777" w:rsidR="0071237E" w:rsidRDefault="0071237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Agotamiento del pool (PostgreSQL </w:t>
            </w:r>
            <w:proofErr w:type="spellStart"/>
            <w:r>
              <w:rPr>
                <w:rFonts w:ascii="Calibri" w:eastAsia="Times New Roman" w:hAnsi="Calibri" w:cs="Calibri"/>
              </w:rPr>
              <w:t>Connection</w:t>
            </w:r>
            <w:proofErr w:type="spellEnd"/>
            <w:r>
              <w:rPr>
                <w:rFonts w:ascii="Calibri" w:eastAsia="Times New Roman" w:hAnsi="Calibri" w:cs="Calibri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</w:rPr>
              <w:t>Timeouts</w:t>
            </w:r>
            <w:proofErr w:type="spellEnd"/>
            <w:r>
              <w:rPr>
                <w:rFonts w:ascii="Calibri" w:eastAsia="Times New Roman" w:hAnsi="Calibri" w:cs="Calibri"/>
              </w:rPr>
              <w:t>).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206C59" w14:textId="77777777" w:rsidR="0071237E" w:rsidRDefault="0071237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Creación de índices compuestos para optimizar consultas de lectura DEV.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E97CBB" w14:textId="77777777" w:rsidR="0071237E" w:rsidRDefault="0071237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Éxito: latencia de extracción cae 94.3%.</w:t>
            </w:r>
          </w:p>
        </w:tc>
      </w:tr>
    </w:tbl>
    <w:p w14:paraId="2E946142" w14:textId="77777777" w:rsidR="0071237E" w:rsidRDefault="0071237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2F0B1C4">
          <v:rect id="_x0000_i1030" style="width:0;height:1.5pt" o:hralign="center" o:hrstd="t" o:hr="t" fillcolor="#a0a0a0" stroked="f"/>
        </w:pict>
      </w:r>
    </w:p>
    <w:p w14:paraId="0D63F546" w14:textId="77777777" w:rsidR="0071237E" w:rsidRDefault="0071237E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5.4 Validación y calibración de umbrales</w:t>
      </w:r>
    </w:p>
    <w:p w14:paraId="4EC53F2B" w14:textId="77777777" w:rsidR="0071237E" w:rsidRDefault="0071237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La operación del primer lote real en mayo brindó datos cuantitativos para calibrar los disparadores (*</w:t>
      </w:r>
      <w:proofErr w:type="spellStart"/>
      <w:r>
        <w:rPr>
          <w:rFonts w:ascii="Calibri" w:hAnsi="Calibri" w:cs="Calibri"/>
          <w:sz w:val="22"/>
          <w:szCs w:val="22"/>
        </w:rPr>
        <w:t>triggers</w:t>
      </w:r>
      <w:proofErr w:type="spellEnd"/>
      <w:r>
        <w:rPr>
          <w:rFonts w:ascii="Calibri" w:hAnsi="Calibri" w:cs="Calibri"/>
          <w:sz w:val="22"/>
          <w:szCs w:val="22"/>
        </w:rPr>
        <w:t>*) lógicos propuestos originalmente en la etapa teórica de abril:</w:t>
      </w:r>
    </w:p>
    <w:p w14:paraId="00152C11" w14:textId="77777777" w:rsidR="0071237E" w:rsidRDefault="0071237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Umbral de Alerta por Tasa de Fallas de Lote:</w:t>
      </w:r>
    </w:p>
    <w:p w14:paraId="47483AAD" w14:textId="77777777" w:rsidR="0071237E" w:rsidRDefault="0071237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*Parámetro abril:* Alerta única estática al sobrepasar el 5% de fallos.</w:t>
      </w:r>
    </w:p>
    <w:p w14:paraId="38FFE906" w14:textId="77777777" w:rsidR="0071237E" w:rsidRDefault="0071237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*Calibración de mayo:* Se determinó un esquema escalonado. Nivel </w:t>
      </w:r>
      <w:r>
        <w:rPr>
          <w:rStyle w:val="Fuerte"/>
          <w:rFonts w:ascii="Calibri" w:hAnsi="Calibri" w:cs="Calibri"/>
          <w:sz w:val="22"/>
          <w:szCs w:val="22"/>
        </w:rPr>
        <w:t>Preventivo al 3%</w:t>
      </w:r>
      <w:r>
        <w:rPr>
          <w:rFonts w:ascii="Calibri" w:hAnsi="Calibri" w:cs="Calibri"/>
          <w:sz w:val="22"/>
          <w:szCs w:val="22"/>
        </w:rPr>
        <w:t xml:space="preserve"> (indica anomalías de conectividad esporádicas o </w:t>
      </w:r>
      <w:proofErr w:type="spellStart"/>
      <w:r>
        <w:rPr>
          <w:rFonts w:ascii="Calibri" w:hAnsi="Calibri" w:cs="Calibri"/>
          <w:sz w:val="22"/>
          <w:szCs w:val="22"/>
        </w:rPr>
        <w:t>CURPs</w:t>
      </w:r>
      <w:proofErr w:type="spellEnd"/>
      <w:r>
        <w:rPr>
          <w:rFonts w:ascii="Calibri" w:hAnsi="Calibri" w:cs="Calibri"/>
          <w:sz w:val="22"/>
          <w:szCs w:val="22"/>
        </w:rPr>
        <w:t xml:space="preserve"> defectuosas de origen) y Nivel </w:t>
      </w:r>
      <w:r>
        <w:rPr>
          <w:rStyle w:val="Fuerte"/>
          <w:rFonts w:ascii="Calibri" w:hAnsi="Calibri" w:cs="Calibri"/>
          <w:sz w:val="22"/>
          <w:szCs w:val="22"/>
        </w:rPr>
        <w:t>Crítico al 8%</w:t>
      </w:r>
      <w:r>
        <w:rPr>
          <w:rFonts w:ascii="Calibri" w:hAnsi="Calibri" w:cs="Calibri"/>
          <w:sz w:val="22"/>
          <w:szCs w:val="22"/>
        </w:rPr>
        <w:t xml:space="preserve"> (conduce a la interrupción automática o *</w:t>
      </w:r>
      <w:proofErr w:type="spellStart"/>
      <w:r>
        <w:rPr>
          <w:rFonts w:ascii="Calibri" w:hAnsi="Calibri" w:cs="Calibri"/>
          <w:sz w:val="22"/>
          <w:szCs w:val="22"/>
        </w:rPr>
        <w:t>Circuit</w:t>
      </w:r>
      <w:proofErr w:type="spellEnd"/>
      <w:r>
        <w:rPr>
          <w:rFonts w:ascii="Calibri" w:hAnsi="Calibri" w:cs="Calibri"/>
          <w:sz w:val="22"/>
          <w:szCs w:val="22"/>
        </w:rPr>
        <w:t xml:space="preserve"> Breaker* del lote por posible bloqueo de dirección IP).</w:t>
      </w:r>
    </w:p>
    <w:p w14:paraId="4C9B5B0E" w14:textId="77777777" w:rsidR="0071237E" w:rsidRDefault="0071237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Umbral de Alerta de Lotes Abiertos ("Stuck/Orphan Lotes"):</w:t>
      </w:r>
    </w:p>
    <w:p w14:paraId="7F00F3AF" w14:textId="77777777" w:rsidR="0071237E" w:rsidRDefault="0071237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*Parámetro abril:* Alerta al alcanzar las 3 horas de lote estancado.</w:t>
      </w:r>
    </w:p>
    <w:p w14:paraId="62918B57" w14:textId="77777777" w:rsidR="0071237E" w:rsidRDefault="0071237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*Calibración de mayo:* Ajustado drásticamente a un máximo de </w:t>
      </w:r>
      <w:r>
        <w:rPr>
          <w:rStyle w:val="Fuerte"/>
          <w:rFonts w:ascii="Calibri" w:hAnsi="Calibri" w:cs="Calibri"/>
          <w:sz w:val="22"/>
          <w:szCs w:val="22"/>
        </w:rPr>
        <w:t>45 minutos</w:t>
      </w:r>
      <w:r>
        <w:rPr>
          <w:rFonts w:ascii="Calibri" w:hAnsi="Calibri" w:cs="Calibri"/>
          <w:sz w:val="22"/>
          <w:szCs w:val="22"/>
        </w:rPr>
        <w:t xml:space="preserve">, dado que el </w:t>
      </w:r>
      <w:proofErr w:type="spellStart"/>
      <w:r>
        <w:rPr>
          <w:rFonts w:ascii="Calibri" w:hAnsi="Calibri" w:cs="Calibri"/>
          <w:sz w:val="22"/>
          <w:szCs w:val="22"/>
        </w:rPr>
        <w:t>profiling</w:t>
      </w:r>
      <w:proofErr w:type="spellEnd"/>
      <w:r>
        <w:rPr>
          <w:rFonts w:ascii="Calibri" w:hAnsi="Calibri" w:cs="Calibri"/>
          <w:sz w:val="22"/>
          <w:szCs w:val="22"/>
        </w:rPr>
        <w:t xml:space="preserve"> demostró que un lote regular de 5,000 registros no consume más de 18 minutos operando bajo parámetros estándar.</w:t>
      </w:r>
    </w:p>
    <w:p w14:paraId="049B71BC" w14:textId="77777777" w:rsidR="0071237E" w:rsidRDefault="0071237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6E09C25">
          <v:rect id="_x0000_i1031" style="width:0;height:1.5pt" o:hralign="center" o:hrstd="t" o:hr="t" fillcolor="#a0a0a0" stroked="f"/>
        </w:pict>
      </w:r>
    </w:p>
    <w:p w14:paraId="5A66E6B4" w14:textId="77777777" w:rsidR="0071237E" w:rsidRDefault="0071237E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5.5 Procedimientos de atención aplicados</w:t>
      </w:r>
    </w:p>
    <w:p w14:paraId="38AD6414" w14:textId="77777777" w:rsidR="0071237E" w:rsidRDefault="0071237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Ante alarmas preventivas de red, se ejecutaron las guías operativas secuenciales de forma estricta:</w:t>
      </w:r>
    </w:p>
    <w:p w14:paraId="6EE52130" w14:textId="77777777" w:rsidR="0071237E" w:rsidRDefault="0071237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Identificación:</w:t>
      </w:r>
      <w:r>
        <w:rPr>
          <w:rFonts w:ascii="Calibri" w:hAnsi="Calibri" w:cs="Calibri"/>
          <w:sz w:val="22"/>
          <w:szCs w:val="22"/>
        </w:rPr>
        <w:t xml:space="preserve"> Monitoreo y aislamiento del log estructurado de depuración.</w:t>
      </w:r>
    </w:p>
    <w:p w14:paraId="67372B0B" w14:textId="77777777" w:rsidR="0071237E" w:rsidRDefault="0071237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Mitigación de Red:</w:t>
      </w:r>
      <w:r>
        <w:rPr>
          <w:rFonts w:ascii="Calibri" w:hAnsi="Calibri" w:cs="Calibri"/>
          <w:sz w:val="22"/>
          <w:szCs w:val="22"/>
        </w:rPr>
        <w:t xml:space="preserve"> Utilización del script </w:t>
      </w:r>
      <w:r>
        <w:rPr>
          <w:rStyle w:val="CdigoHTML"/>
        </w:rPr>
        <w:t>run_resume.py</w:t>
      </w:r>
      <w:r>
        <w:rPr>
          <w:rFonts w:ascii="Calibri" w:hAnsi="Calibri" w:cs="Calibri"/>
          <w:sz w:val="22"/>
          <w:szCs w:val="22"/>
        </w:rPr>
        <w:t xml:space="preserve"> para pausar y reanudar de forma instantánea el lote tras solventar bloqueos </w:t>
      </w:r>
      <w:proofErr w:type="spellStart"/>
      <w:r>
        <w:rPr>
          <w:rFonts w:ascii="Calibri" w:hAnsi="Calibri" w:cs="Calibri"/>
          <w:sz w:val="22"/>
          <w:szCs w:val="22"/>
        </w:rPr>
        <w:t>IPs</w:t>
      </w:r>
      <w:proofErr w:type="spellEnd"/>
      <w:r>
        <w:rPr>
          <w:rFonts w:ascii="Calibri" w:hAnsi="Calibri" w:cs="Calibri"/>
          <w:sz w:val="22"/>
          <w:szCs w:val="22"/>
        </w:rPr>
        <w:t xml:space="preserve"> locales.</w:t>
      </w:r>
    </w:p>
    <w:p w14:paraId="4A7B2188" w14:textId="77777777" w:rsidR="0071237E" w:rsidRDefault="0071237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Reprocesamiento:</w:t>
      </w:r>
      <w:r>
        <w:rPr>
          <w:rFonts w:ascii="Calibri" w:hAnsi="Calibri" w:cs="Calibri"/>
          <w:sz w:val="22"/>
          <w:szCs w:val="22"/>
        </w:rPr>
        <w:t xml:space="preserve"> Invocación de </w:t>
      </w:r>
      <w:r>
        <w:rPr>
          <w:rStyle w:val="CdigoHTML"/>
        </w:rPr>
        <w:t>run_reproceso.py</w:t>
      </w:r>
      <w:r>
        <w:rPr>
          <w:rFonts w:ascii="Calibri" w:hAnsi="Calibri" w:cs="Calibri"/>
          <w:sz w:val="22"/>
          <w:szCs w:val="22"/>
        </w:rPr>
        <w:t xml:space="preserve"> para </w:t>
      </w:r>
      <w:proofErr w:type="spellStart"/>
      <w:r>
        <w:rPr>
          <w:rFonts w:ascii="Calibri" w:hAnsi="Calibri" w:cs="Calibri"/>
          <w:sz w:val="22"/>
          <w:szCs w:val="22"/>
        </w:rPr>
        <w:t>re-intentar</w:t>
      </w:r>
      <w:proofErr w:type="spellEnd"/>
      <w:r>
        <w:rPr>
          <w:rFonts w:ascii="Calibri" w:hAnsi="Calibri" w:cs="Calibri"/>
          <w:sz w:val="22"/>
          <w:szCs w:val="22"/>
        </w:rPr>
        <w:t xml:space="preserve"> folios fallidos, recuperando de forma segura 410 registros adicionales y elevando la tasa de éxito final ajustada a un </w:t>
      </w:r>
      <w:r>
        <w:rPr>
          <w:rStyle w:val="Fuerte"/>
          <w:rFonts w:ascii="Calibri" w:hAnsi="Calibri" w:cs="Calibri"/>
          <w:sz w:val="22"/>
          <w:szCs w:val="22"/>
        </w:rPr>
        <w:t>98.82%</w:t>
      </w:r>
      <w:r>
        <w:rPr>
          <w:rFonts w:ascii="Calibri" w:hAnsi="Calibri" w:cs="Calibri"/>
          <w:sz w:val="22"/>
          <w:szCs w:val="22"/>
        </w:rPr>
        <w:t>.</w:t>
      </w:r>
    </w:p>
    <w:p w14:paraId="70C244C1" w14:textId="77777777" w:rsidR="0071237E" w:rsidRDefault="0071237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1D31F85">
          <v:rect id="_x0000_i1032" style="width:0;height:1.5pt" o:hralign="center" o:hrstd="t" o:hr="t" fillcolor="#a0a0a0" stroked="f"/>
        </w:pict>
      </w:r>
    </w:p>
    <w:p w14:paraId="67D4A4F6" w14:textId="77777777" w:rsidR="0071237E" w:rsidRDefault="0071237E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Riesgos y Dependencias para Mayo</w:t>
      </w:r>
    </w:p>
    <w:p w14:paraId="63C94D27" w14:textId="77777777" w:rsidR="0071237E" w:rsidRDefault="0071237E" w:rsidP="0071237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Saturación silente de Logs:</w:t>
      </w:r>
      <w:r>
        <w:rPr>
          <w:rFonts w:ascii="Calibri" w:eastAsia="Times New Roman" w:hAnsi="Calibri" w:cs="Calibri"/>
        </w:rPr>
        <w:t xml:space="preserve"> El volumen de logs producidos por bitácora de eventos puede acaparar la capacidad del disco físico en DEV de forma inesperada si no se unifica una política de rotación diaria (*Log </w:t>
      </w:r>
      <w:proofErr w:type="spellStart"/>
      <w:r>
        <w:rPr>
          <w:rFonts w:ascii="Calibri" w:eastAsia="Times New Roman" w:hAnsi="Calibri" w:cs="Calibri"/>
        </w:rPr>
        <w:t>Rotation</w:t>
      </w:r>
      <w:proofErr w:type="spellEnd"/>
      <w:r>
        <w:rPr>
          <w:rFonts w:ascii="Calibri" w:eastAsia="Times New Roman" w:hAnsi="Calibri" w:cs="Calibri"/>
        </w:rPr>
        <w:t>*).</w:t>
      </w:r>
    </w:p>
    <w:p w14:paraId="3CA1BE90" w14:textId="77777777" w:rsidR="0071237E" w:rsidRDefault="0071237E" w:rsidP="0071237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Estabilidad de red institucional:</w:t>
      </w:r>
      <w:r>
        <w:rPr>
          <w:rFonts w:ascii="Calibri" w:eastAsia="Times New Roman" w:hAnsi="Calibri" w:cs="Calibri"/>
        </w:rPr>
        <w:t xml:space="preserve"> Riesgo latente de bloqueos masivos permanentes a las peticiones remotas si las consultas concurren de forma descoordinada al IMSS.</w:t>
      </w:r>
    </w:p>
    <w:p w14:paraId="24187BA5" w14:textId="77777777" w:rsidR="0071237E" w:rsidRDefault="0071237E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Próximos Pasos rumbo a Junio</w:t>
      </w:r>
    </w:p>
    <w:p w14:paraId="5A4C40E8" w14:textId="77777777" w:rsidR="0071237E" w:rsidRDefault="0071237E" w:rsidP="0071237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Configurar rotación de logs de forma automática (</w:t>
      </w:r>
      <w:proofErr w:type="spellStart"/>
      <w:r>
        <w:rPr>
          <w:rStyle w:val="CdigoHTML"/>
        </w:rPr>
        <w:t>logging.handlers.TimedRotatingFileHandler</w:t>
      </w:r>
      <w:proofErr w:type="spellEnd"/>
      <w:r>
        <w:rPr>
          <w:rFonts w:ascii="Calibri" w:eastAsia="Times New Roman" w:hAnsi="Calibri" w:cs="Calibri"/>
        </w:rPr>
        <w:t>).</w:t>
      </w:r>
    </w:p>
    <w:p w14:paraId="3A62E790" w14:textId="77777777" w:rsidR="0071237E" w:rsidRDefault="0071237E" w:rsidP="0071237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Conectar las alertas automatizadas con notificaciones proactivas vía servicios de mensajería (Slack/</w:t>
      </w:r>
      <w:proofErr w:type="spellStart"/>
      <w:r>
        <w:rPr>
          <w:rFonts w:ascii="Calibri" w:eastAsia="Times New Roman" w:hAnsi="Calibri" w:cs="Calibri"/>
        </w:rPr>
        <w:t>Teams</w:t>
      </w:r>
      <w:proofErr w:type="spellEnd"/>
      <w:r>
        <w:rPr>
          <w:rFonts w:ascii="Calibri" w:eastAsia="Times New Roman" w:hAnsi="Calibri" w:cs="Calibri"/>
        </w:rPr>
        <w:t xml:space="preserve"> o SMTP).</w:t>
      </w:r>
    </w:p>
    <w:p w14:paraId="7F5A4CA3" w14:textId="77777777" w:rsidR="0071237E" w:rsidRDefault="0071237E" w:rsidP="0071237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Completar la sección final del panel de indicadores con diagramas dinámicos de </w:t>
      </w:r>
      <w:proofErr w:type="spellStart"/>
      <w:r>
        <w:rPr>
          <w:rFonts w:ascii="Calibri" w:eastAsia="Times New Roman" w:hAnsi="Calibri" w:cs="Calibri"/>
        </w:rPr>
        <w:t>observabilidad</w:t>
      </w:r>
      <w:proofErr w:type="spellEnd"/>
      <w:r>
        <w:rPr>
          <w:rFonts w:ascii="Calibri" w:eastAsia="Times New Roman" w:hAnsi="Calibri" w:cs="Calibri"/>
        </w:rPr>
        <w:t xml:space="preserve"> para el corte trimestral del 30 de junio.</w:t>
      </w:r>
    </w:p>
    <w:p w14:paraId="463AF470" w14:textId="77777777" w:rsidR="0071237E" w:rsidRDefault="0071237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B6CF055">
          <v:rect id="_x0000_i1033" style="width:0;height:1.5pt" o:hralign="center" o:hrstd="t" o:hr="t" fillcolor="#a0a0a0" stroked="f"/>
        </w:pict>
      </w:r>
    </w:p>
    <w:p w14:paraId="5EC043D4" w14:textId="77777777" w:rsidR="0071237E" w:rsidRDefault="0071237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Comentarios adicionales:</w:t>
      </w:r>
    </w:p>
    <w:p w14:paraId="10F6FF60" w14:textId="77777777" w:rsidR="0071237E" w:rsidRDefault="0071237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Este manual métrico operativo consolida la evidencia de mayo y valida el esquema de monitoreo en producción bajo estrés volumétrico.</w:t>
      </w:r>
    </w:p>
    <w:p w14:paraId="260CE770" w14:textId="77777777" w:rsidR="0071237E" w:rsidRDefault="0071237E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br w:type="page"/>
      </w:r>
    </w:p>
    <w:bookmarkEnd w:id="0"/>
    <w:bookmarkEnd w:id="1"/>
    <w:bookmarkEnd w:id="2"/>
    <w:p w14:paraId="1713CE75" w14:textId="77777777" w:rsidR="0071237E" w:rsidRDefault="0071237E" w:rsidP="0076298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lastRenderedPageBreak/>
        <w:t>8. Sección de firmas</w:t>
      </w:r>
    </w:p>
    <w:p w14:paraId="488F7A54" w14:textId="581775EC" w:rsidR="00762984" w:rsidRPr="00F35958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F35958" w:rsidRDefault="00762984" w:rsidP="00762984">
      <w:pPr>
        <w:rPr>
          <w:rFonts w:ascii="Arial" w:hAnsi="Arial" w:cs="Arial"/>
          <w:color w:val="auto"/>
        </w:rPr>
      </w:pPr>
      <w:r w:rsidRPr="00F35958">
        <w:rPr>
          <w:rFonts w:ascii="Arial" w:hAnsi="Arial" w:cs="Arial"/>
          <w:color w:val="auto"/>
        </w:rPr>
        <w:t>Tras la revisión del documento,</w:t>
      </w:r>
      <w:r w:rsidRPr="00F35958">
        <w:rPr>
          <w:rFonts w:asciiTheme="minorHAnsi" w:hAnsiTheme="minorHAnsi"/>
          <w:color w:val="auto"/>
        </w:rPr>
        <w:t xml:space="preserve"> s</w:t>
      </w:r>
      <w:r w:rsidRPr="00F35958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F35958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F35958" w14:paraId="7D0815A2" w14:textId="77777777" w:rsidTr="00E41D98">
        <w:tc>
          <w:tcPr>
            <w:tcW w:w="4675" w:type="dxa"/>
          </w:tcPr>
          <w:p w14:paraId="5C93266E" w14:textId="38C4471D" w:rsidR="00C72784" w:rsidRPr="00F35958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F35958" w14:paraId="4EFFA3A4" w14:textId="77777777" w:rsidTr="00E41D98">
        <w:tc>
          <w:tcPr>
            <w:tcW w:w="4675" w:type="dxa"/>
          </w:tcPr>
          <w:p w14:paraId="3A32D21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F35958" w14:paraId="18A22D1F" w14:textId="77777777" w:rsidTr="00E41D98">
        <w:tc>
          <w:tcPr>
            <w:tcW w:w="4675" w:type="dxa"/>
          </w:tcPr>
          <w:p w14:paraId="4035BC3F" w14:textId="6EF73872" w:rsidR="00C72784" w:rsidRPr="00F35958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F35958" w14:paraId="0E84DC51" w14:textId="77777777" w:rsidTr="00E41D98">
        <w:tc>
          <w:tcPr>
            <w:tcW w:w="4675" w:type="dxa"/>
          </w:tcPr>
          <w:p w14:paraId="20A9AA2C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F35958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8"/>
      <w:footerReference w:type="default" r:id="rId9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C86C7B" w14:textId="77777777" w:rsidR="00072FE7" w:rsidRPr="00F35958" w:rsidRDefault="00072FE7" w:rsidP="00997E2E">
      <w:r w:rsidRPr="00F35958">
        <w:separator/>
      </w:r>
    </w:p>
  </w:endnote>
  <w:endnote w:type="continuationSeparator" w:id="0">
    <w:p w14:paraId="494657F9" w14:textId="77777777" w:rsidR="00072FE7" w:rsidRPr="00F35958" w:rsidRDefault="00072FE7" w:rsidP="00997E2E">
      <w:r w:rsidRPr="00F3595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F35958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3" w:name="_Hlk195261366"/>
    <w:bookmarkStart w:id="4" w:name="_Hlk195261367"/>
    <w:r w:rsidRPr="00F35958">
      <w:rPr>
        <w:rFonts w:ascii="Noto Sans" w:hAnsi="Noto Sans" w:cs="Noto Sans"/>
        <w:sz w:val="18"/>
        <w:szCs w:val="18"/>
      </w:rPr>
      <w:t xml:space="preserve">Página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1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Pr="00F35958">
      <w:rPr>
        <w:rFonts w:ascii="Noto Sans" w:hAnsi="Noto Sans" w:cs="Noto Sans"/>
        <w:sz w:val="18"/>
        <w:szCs w:val="18"/>
      </w:rPr>
      <w:t xml:space="preserve"> de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2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F35958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F35958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Unidad de Administración y Finanzas</w:t>
    </w:r>
    <w:r w:rsidRPr="00F35958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Dirección General de Tecnologías de</w:t>
    </w:r>
    <w:r w:rsidRPr="00F35958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la Información y Comunicaciones</w:t>
    </w:r>
    <w:r w:rsidRPr="00F35958">
      <w:rPr>
        <w:rFonts w:ascii="Noto Sans" w:hAnsi="Noto Sans" w:cs="Noto Sans"/>
        <w:sz w:val="18"/>
        <w:szCs w:val="18"/>
      </w:rPr>
      <w:tab/>
    </w:r>
  </w:p>
  <w:bookmarkEnd w:id="3"/>
  <w:bookmarkEnd w:id="4"/>
  <w:p w14:paraId="7DCB4A70" w14:textId="77777777" w:rsidR="00997E2E" w:rsidRPr="00F35958" w:rsidRDefault="00997E2E" w:rsidP="00997E2E">
    <w:pPr>
      <w:pStyle w:val="Encabezado"/>
      <w:ind w:right="474"/>
      <w:jc w:val="right"/>
    </w:pPr>
  </w:p>
  <w:p w14:paraId="370C7DA8" w14:textId="7BBD45B3" w:rsidR="00E42075" w:rsidRPr="00F35958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E2E8F5" w14:textId="77777777" w:rsidR="00072FE7" w:rsidRPr="00F35958" w:rsidRDefault="00072FE7" w:rsidP="00997E2E">
      <w:r w:rsidRPr="00F35958">
        <w:separator/>
      </w:r>
    </w:p>
  </w:footnote>
  <w:footnote w:type="continuationSeparator" w:id="0">
    <w:p w14:paraId="1940C52B" w14:textId="77777777" w:rsidR="00072FE7" w:rsidRPr="00F35958" w:rsidRDefault="00072FE7" w:rsidP="00997E2E">
      <w:r w:rsidRPr="00F3595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F35958" w:rsidRDefault="00997E2E" w:rsidP="00997E2E">
    <w:pPr>
      <w:pStyle w:val="Encabezado"/>
    </w:pPr>
    <w:r w:rsidRPr="00F35958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F35958" w:rsidRDefault="00997E2E" w:rsidP="00997E2E">
    <w:pPr>
      <w:pStyle w:val="Encabezado"/>
      <w:jc w:val="right"/>
    </w:pPr>
    <w:r w:rsidRPr="00F35958">
      <w:t>Unidad de Administración y Finanzas</w:t>
    </w:r>
    <w:r w:rsidRPr="00F35958">
      <w:tab/>
    </w:r>
  </w:p>
  <w:p w14:paraId="7E408CE7" w14:textId="31431E63" w:rsidR="00997E2E" w:rsidRPr="00F35958" w:rsidRDefault="00997E2E" w:rsidP="00997E2E">
    <w:pPr>
      <w:pStyle w:val="Encabezado"/>
      <w:jc w:val="right"/>
    </w:pPr>
    <w:r w:rsidRPr="00F35958">
      <w:t>Dirección General de Tecnologías de</w:t>
    </w:r>
    <w:r w:rsidRPr="00F35958">
      <w:tab/>
      <w:t xml:space="preserve"> </w:t>
    </w:r>
  </w:p>
  <w:p w14:paraId="0D6A6991" w14:textId="76F185EB" w:rsidR="00997E2E" w:rsidRPr="00F35958" w:rsidRDefault="00997E2E" w:rsidP="00997E2E">
    <w:pPr>
      <w:pStyle w:val="Encabezado"/>
      <w:jc w:val="right"/>
    </w:pPr>
    <w:r w:rsidRPr="00F35958">
      <w:t>la Información y Comunicaciones</w:t>
    </w:r>
    <w:r w:rsidRPr="00F35958">
      <w:tab/>
    </w:r>
  </w:p>
  <w:p w14:paraId="466085AA" w14:textId="77777777" w:rsidR="00997E2E" w:rsidRPr="00F35958" w:rsidRDefault="00997E2E" w:rsidP="00997E2E">
    <w:pPr>
      <w:pStyle w:val="Encabezado"/>
    </w:pPr>
  </w:p>
  <w:p w14:paraId="57844811" w14:textId="77777777" w:rsidR="00997E2E" w:rsidRPr="00F35958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3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2CA2BA5"/>
    <w:multiLevelType w:val="multilevel"/>
    <w:tmpl w:val="0DEC7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4A24D95"/>
    <w:multiLevelType w:val="hybridMultilevel"/>
    <w:tmpl w:val="0EDC77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F05531"/>
    <w:multiLevelType w:val="multilevel"/>
    <w:tmpl w:val="128A8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8C0E55"/>
    <w:multiLevelType w:val="multilevel"/>
    <w:tmpl w:val="0422C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2316BA"/>
    <w:multiLevelType w:val="multilevel"/>
    <w:tmpl w:val="1F60F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FF771F"/>
    <w:multiLevelType w:val="hybridMultilevel"/>
    <w:tmpl w:val="660C78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C94927"/>
    <w:multiLevelType w:val="multilevel"/>
    <w:tmpl w:val="5DE6B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AF1896"/>
    <w:multiLevelType w:val="multilevel"/>
    <w:tmpl w:val="35E63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D74056"/>
    <w:multiLevelType w:val="hybridMultilevel"/>
    <w:tmpl w:val="F8E884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3C20551"/>
    <w:multiLevelType w:val="hybridMultilevel"/>
    <w:tmpl w:val="9EBC212E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1797777">
    <w:abstractNumId w:val="6"/>
  </w:num>
  <w:num w:numId="2" w16cid:durableId="2103646062">
    <w:abstractNumId w:val="4"/>
  </w:num>
  <w:num w:numId="3" w16cid:durableId="441605867">
    <w:abstractNumId w:val="3"/>
  </w:num>
  <w:num w:numId="4" w16cid:durableId="1048606953">
    <w:abstractNumId w:val="5"/>
  </w:num>
  <w:num w:numId="5" w16cid:durableId="658462606">
    <w:abstractNumId w:val="1"/>
  </w:num>
  <w:num w:numId="6" w16cid:durableId="1449011546">
    <w:abstractNumId w:val="0"/>
  </w:num>
  <w:num w:numId="7" w16cid:durableId="767509364">
    <w:abstractNumId w:val="15"/>
  </w:num>
  <w:num w:numId="8" w16cid:durableId="1187519976">
    <w:abstractNumId w:val="8"/>
  </w:num>
  <w:num w:numId="9" w16cid:durableId="774518276">
    <w:abstractNumId w:val="7"/>
  </w:num>
  <w:num w:numId="10" w16cid:durableId="2009867063">
    <w:abstractNumId w:val="12"/>
  </w:num>
  <w:num w:numId="11" w16cid:durableId="1924602666">
    <w:abstractNumId w:val="16"/>
  </w:num>
  <w:num w:numId="12" w16cid:durableId="2021344936">
    <w:abstractNumId w:val="2"/>
  </w:num>
  <w:num w:numId="13" w16cid:durableId="603149641">
    <w:abstractNumId w:val="14"/>
  </w:num>
  <w:num w:numId="14" w16cid:durableId="1765766760">
    <w:abstractNumId w:val="10"/>
  </w:num>
  <w:num w:numId="15" w16cid:durableId="578029424">
    <w:abstractNumId w:val="13"/>
  </w:num>
  <w:num w:numId="16" w16cid:durableId="1554385951">
    <w:abstractNumId w:val="9"/>
  </w:num>
  <w:num w:numId="17" w16cid:durableId="782304513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31BE0"/>
    <w:rsid w:val="00034616"/>
    <w:rsid w:val="000370F9"/>
    <w:rsid w:val="00055D65"/>
    <w:rsid w:val="00057AD0"/>
    <w:rsid w:val="0006063C"/>
    <w:rsid w:val="00072FE7"/>
    <w:rsid w:val="00083F2C"/>
    <w:rsid w:val="00084C49"/>
    <w:rsid w:val="00090885"/>
    <w:rsid w:val="000B17D6"/>
    <w:rsid w:val="000C6807"/>
    <w:rsid w:val="000E2A85"/>
    <w:rsid w:val="000E4F7B"/>
    <w:rsid w:val="000E5C6E"/>
    <w:rsid w:val="0011731C"/>
    <w:rsid w:val="00134559"/>
    <w:rsid w:val="001427DC"/>
    <w:rsid w:val="0015074B"/>
    <w:rsid w:val="00157EAF"/>
    <w:rsid w:val="00170CE1"/>
    <w:rsid w:val="00172EBA"/>
    <w:rsid w:val="00176EC1"/>
    <w:rsid w:val="001A3E81"/>
    <w:rsid w:val="001C128F"/>
    <w:rsid w:val="001D1407"/>
    <w:rsid w:val="001E4A8B"/>
    <w:rsid w:val="001E5D67"/>
    <w:rsid w:val="001F6D0E"/>
    <w:rsid w:val="00204D8B"/>
    <w:rsid w:val="00212A0E"/>
    <w:rsid w:val="0021558B"/>
    <w:rsid w:val="00217143"/>
    <w:rsid w:val="00220BDA"/>
    <w:rsid w:val="0023360F"/>
    <w:rsid w:val="002473BE"/>
    <w:rsid w:val="002556C5"/>
    <w:rsid w:val="00263A75"/>
    <w:rsid w:val="0027514D"/>
    <w:rsid w:val="00281FC3"/>
    <w:rsid w:val="00281FCA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4341D"/>
    <w:rsid w:val="00362670"/>
    <w:rsid w:val="00364FFA"/>
    <w:rsid w:val="003900CC"/>
    <w:rsid w:val="0039521E"/>
    <w:rsid w:val="003A02A7"/>
    <w:rsid w:val="003A3A97"/>
    <w:rsid w:val="003A5DB2"/>
    <w:rsid w:val="003B5DF2"/>
    <w:rsid w:val="003B7A12"/>
    <w:rsid w:val="003B7DEA"/>
    <w:rsid w:val="003C7FA1"/>
    <w:rsid w:val="003D0174"/>
    <w:rsid w:val="003F7817"/>
    <w:rsid w:val="00413D31"/>
    <w:rsid w:val="00440931"/>
    <w:rsid w:val="0045232B"/>
    <w:rsid w:val="00460181"/>
    <w:rsid w:val="00474EE0"/>
    <w:rsid w:val="00477234"/>
    <w:rsid w:val="004806E4"/>
    <w:rsid w:val="00490C87"/>
    <w:rsid w:val="0049360B"/>
    <w:rsid w:val="004A577B"/>
    <w:rsid w:val="004C19FB"/>
    <w:rsid w:val="004D2F30"/>
    <w:rsid w:val="004D6556"/>
    <w:rsid w:val="004F3533"/>
    <w:rsid w:val="004F6419"/>
    <w:rsid w:val="005014CD"/>
    <w:rsid w:val="00504757"/>
    <w:rsid w:val="00517CFC"/>
    <w:rsid w:val="00530CC9"/>
    <w:rsid w:val="00543F0E"/>
    <w:rsid w:val="00547C5E"/>
    <w:rsid w:val="00555191"/>
    <w:rsid w:val="0057038B"/>
    <w:rsid w:val="005D1431"/>
    <w:rsid w:val="005E7D6D"/>
    <w:rsid w:val="005F77E9"/>
    <w:rsid w:val="00606958"/>
    <w:rsid w:val="00614DF1"/>
    <w:rsid w:val="00635402"/>
    <w:rsid w:val="00643CB0"/>
    <w:rsid w:val="0065130E"/>
    <w:rsid w:val="006608CE"/>
    <w:rsid w:val="00671768"/>
    <w:rsid w:val="00673450"/>
    <w:rsid w:val="006942DE"/>
    <w:rsid w:val="006B5472"/>
    <w:rsid w:val="006E2512"/>
    <w:rsid w:val="006F366F"/>
    <w:rsid w:val="0071237E"/>
    <w:rsid w:val="007138C2"/>
    <w:rsid w:val="00714169"/>
    <w:rsid w:val="007458C1"/>
    <w:rsid w:val="00762984"/>
    <w:rsid w:val="00771C23"/>
    <w:rsid w:val="007B52C0"/>
    <w:rsid w:val="007B7E00"/>
    <w:rsid w:val="007C3C28"/>
    <w:rsid w:val="007C519E"/>
    <w:rsid w:val="007C6CE5"/>
    <w:rsid w:val="007D2105"/>
    <w:rsid w:val="007D3EBE"/>
    <w:rsid w:val="007D76F8"/>
    <w:rsid w:val="007D7B44"/>
    <w:rsid w:val="007F0EDD"/>
    <w:rsid w:val="007F200C"/>
    <w:rsid w:val="007F53AE"/>
    <w:rsid w:val="00802FD5"/>
    <w:rsid w:val="00815657"/>
    <w:rsid w:val="008170A1"/>
    <w:rsid w:val="008529AB"/>
    <w:rsid w:val="0085498B"/>
    <w:rsid w:val="00863E93"/>
    <w:rsid w:val="008916FA"/>
    <w:rsid w:val="008957C6"/>
    <w:rsid w:val="008C1640"/>
    <w:rsid w:val="0090295F"/>
    <w:rsid w:val="00907CAD"/>
    <w:rsid w:val="00941C93"/>
    <w:rsid w:val="00974196"/>
    <w:rsid w:val="00977E0D"/>
    <w:rsid w:val="0098514F"/>
    <w:rsid w:val="009915B2"/>
    <w:rsid w:val="0099483E"/>
    <w:rsid w:val="00997E2E"/>
    <w:rsid w:val="009A0624"/>
    <w:rsid w:val="009B4888"/>
    <w:rsid w:val="00A149CB"/>
    <w:rsid w:val="00A276F6"/>
    <w:rsid w:val="00A46355"/>
    <w:rsid w:val="00A51C98"/>
    <w:rsid w:val="00A96A40"/>
    <w:rsid w:val="00AA1D8D"/>
    <w:rsid w:val="00AC51FC"/>
    <w:rsid w:val="00AD19C4"/>
    <w:rsid w:val="00B22EB7"/>
    <w:rsid w:val="00B474BE"/>
    <w:rsid w:val="00B47730"/>
    <w:rsid w:val="00B54250"/>
    <w:rsid w:val="00B614EE"/>
    <w:rsid w:val="00B64A2E"/>
    <w:rsid w:val="00B71DB1"/>
    <w:rsid w:val="00B72F19"/>
    <w:rsid w:val="00B76CBE"/>
    <w:rsid w:val="00B94D44"/>
    <w:rsid w:val="00BA21C1"/>
    <w:rsid w:val="00BA4457"/>
    <w:rsid w:val="00BB7754"/>
    <w:rsid w:val="00BF1A0A"/>
    <w:rsid w:val="00BF3A0D"/>
    <w:rsid w:val="00C023B4"/>
    <w:rsid w:val="00C043D9"/>
    <w:rsid w:val="00C52C1F"/>
    <w:rsid w:val="00C5797C"/>
    <w:rsid w:val="00C627A4"/>
    <w:rsid w:val="00C6492A"/>
    <w:rsid w:val="00C663DF"/>
    <w:rsid w:val="00C72784"/>
    <w:rsid w:val="00CB0664"/>
    <w:rsid w:val="00CE3CE1"/>
    <w:rsid w:val="00CF5767"/>
    <w:rsid w:val="00D010F1"/>
    <w:rsid w:val="00D15D18"/>
    <w:rsid w:val="00D27B0B"/>
    <w:rsid w:val="00D3559E"/>
    <w:rsid w:val="00D62385"/>
    <w:rsid w:val="00D65F24"/>
    <w:rsid w:val="00D94679"/>
    <w:rsid w:val="00DD799D"/>
    <w:rsid w:val="00E42075"/>
    <w:rsid w:val="00E5048C"/>
    <w:rsid w:val="00E60372"/>
    <w:rsid w:val="00E71416"/>
    <w:rsid w:val="00EA0966"/>
    <w:rsid w:val="00EC77A7"/>
    <w:rsid w:val="00EE6865"/>
    <w:rsid w:val="00EE6F82"/>
    <w:rsid w:val="00F038E0"/>
    <w:rsid w:val="00F10FB7"/>
    <w:rsid w:val="00F35958"/>
    <w:rsid w:val="00F46663"/>
    <w:rsid w:val="00F51697"/>
    <w:rsid w:val="00F67D4A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76CB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76CBE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76CBE"/>
    <w:pPr>
      <w:spacing w:after="100"/>
      <w:ind w:left="440"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71237E"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nsolas" w:hAnsi="Consolas" w:cs="Courier New"/>
      <w:color w:val="auto"/>
      <w:sz w:val="20"/>
      <w:szCs w:val="20"/>
      <w:lang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71237E"/>
    <w:rPr>
      <w:rFonts w:ascii="Consolas" w:hAnsi="Consolas" w:cs="Courier New"/>
      <w:sz w:val="20"/>
      <w:szCs w:val="20"/>
      <w:shd w:val="clear" w:color="auto" w:fill="F4F4F4"/>
      <w:lang w:val="es-MX" w:eastAsia="es-MX"/>
    </w:rPr>
  </w:style>
  <w:style w:type="paragraph" w:styleId="NormalWeb">
    <w:name w:val="Normal (Web)"/>
    <w:basedOn w:val="Normal"/>
    <w:uiPriority w:val="99"/>
    <w:semiHidden/>
    <w:unhideWhenUsed/>
    <w:rsid w:val="0071237E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71237E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6</Pages>
  <Words>1163</Words>
  <Characters>6401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 Polanco</cp:lastModifiedBy>
  <cp:revision>68</cp:revision>
  <cp:lastPrinted>2026-01-20T21:57:00Z</cp:lastPrinted>
  <dcterms:created xsi:type="dcterms:W3CDTF">2026-02-13T01:04:00Z</dcterms:created>
  <dcterms:modified xsi:type="dcterms:W3CDTF">2026-06-01T20:55:00Z</dcterms:modified>
  <cp:category/>
</cp:coreProperties>
</file>