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BA8" w:rsidRDefault="00130BA8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Mensual de Procesos de Ingesta y Transformación (ETL/ELT)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Mayo 2026 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:rsidR="00130BA8" w:rsidRDefault="00130BA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130BA8" w:rsidRDefault="00130BA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Registrar y detallar con profundidad técnica el avance correspondiente a mayo de 2026 en materia de procesos de extracción, transformación, depuración y carga de datos (ETL/ELT), priorizando la validación documental de layouts multiformatos, el aislamiento de registros anómalos de origen y la trazabilidad relacional definitiva.</w:t>
      </w:r>
    </w:p>
    <w:p w:rsidR="00130BA8" w:rsidRDefault="00130BA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Criterio de Separación por Mes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diferencia de la línea base descrita en abril (la cual desglosó el flujo conceptual observable del proyecto), este reporte de mayo aborda exclusivamente:</w:t>
      </w:r>
    </w:p>
    <w:p w:rsidR="00130BA8" w:rsidRDefault="00130BA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Pruebas y validaciones de transformación de datos ejecutadas en el mes.</w:t>
      </w:r>
    </w:p>
    <w:p w:rsidR="00130BA8" w:rsidRDefault="00130BA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Manejo y aislamiento físico de errores de diseño y formato.</w:t>
      </w:r>
    </w:p>
    <w:p w:rsidR="00130BA8" w:rsidRDefault="00130BA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Evidencias de simulación de layouts en formatos contractuales intermedios (CSV, XLSX, XML y JSON).</w:t>
      </w:r>
    </w:p>
    <w:p w:rsidR="00130BA8" w:rsidRDefault="00130BA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Métricas volumétricas asociadas al pipeline de ingesta.</w:t>
      </w:r>
    </w:p>
    <w:p w:rsidR="00130BA8" w:rsidRDefault="00130BA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Enfoque de Trabajo para Mayo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prioridad en mayo fue blindar la estabilidad del pipeline frente a incoherencias de origen. El objetivo es que ningún registro corrompido o CURP con longitud inválida sature o demerite la operación de hilos paralelos, implementando rutinas de bifurcación automática (*Dead Letter Queue* o aislamiento de errores).</w:t>
      </w:r>
    </w:p>
    <w:p w:rsidR="00130BA8" w:rsidRDefault="00130BA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130BA8" w:rsidRDefault="00130BA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Diagrama del Mapeo de Transformación y Flujo ETL (Mermaid)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El siguiente modelo detalla el flujo secuencial de paso y cambio de estado de la información desde las tablas origen de base de datos hasta su destino final físico e histórico:</w:t>
      </w:r>
    </w:p>
    <w:p w:rsidR="00130BA8" w:rsidRDefault="00130BA8">
      <w:pPr>
        <w:pStyle w:val="HTMLconformatoprevio"/>
      </w:pPr>
    </w:p>
    <w:p w:rsidR="00130BA8" w:rsidRDefault="00130BA8">
      <w:pPr>
        <w:pStyle w:val="HTMLconformatoprevio"/>
      </w:pPr>
      <w:r>
        <w:t>flowchart TD</w:t>
      </w:r>
    </w:p>
    <w:p w:rsidR="00130BA8" w:rsidRDefault="00130BA8">
      <w:pPr>
        <w:pStyle w:val="HTMLconformatoprevio"/>
      </w:pPr>
      <w:r>
        <w:t xml:space="preserve">    subgraph E [1. Extracción]</w:t>
      </w:r>
    </w:p>
    <w:p w:rsidR="00130BA8" w:rsidRDefault="00130BA8">
      <w:pPr>
        <w:pStyle w:val="HTMLconformatoprevio"/>
      </w:pPr>
      <w:r>
        <w:t xml:space="preserve">        A[PostgreSQL: menor_evaluado] --&gt; B(Join catalogo_cct)</w:t>
      </w:r>
    </w:p>
    <w:p w:rsidR="00130BA8" w:rsidRDefault="00130BA8">
      <w:pPr>
        <w:pStyle w:val="HTMLconformatoprevio"/>
      </w:pPr>
      <w:r>
        <w:t xml:space="preserve">    end</w:t>
      </w:r>
    </w:p>
    <w:p w:rsidR="00130BA8" w:rsidRDefault="00130BA8">
      <w:pPr>
        <w:pStyle w:val="HTMLconformatoprevio"/>
      </w:pPr>
      <w:r>
        <w:t xml:space="preserve">    subgraph T [2. Transformación &amp; Depuración]</w:t>
      </w:r>
    </w:p>
    <w:p w:rsidR="00130BA8" w:rsidRDefault="00130BA8">
      <w:pPr>
        <w:pStyle w:val="HTMLconformatoprevio"/>
      </w:pPr>
      <w:r>
        <w:t xml:space="preserve">        B --&gt; C{Validador de Formatos}</w:t>
      </w:r>
    </w:p>
    <w:p w:rsidR="00130BA8" w:rsidRDefault="00130BA8">
      <w:pPr>
        <w:pStyle w:val="HTMLconformatoprevio"/>
      </w:pPr>
      <w:r>
        <w:t xml:space="preserve">        C --&gt;|Format Error| D[Aislar en depuracion_errores.json]</w:t>
      </w:r>
    </w:p>
    <w:p w:rsidR="00130BA8" w:rsidRDefault="00130BA8">
      <w:pPr>
        <w:pStyle w:val="HTMLconformatoprevio"/>
      </w:pPr>
      <w:r>
        <w:t xml:space="preserve">        C --&gt;|Válido| E1[Normalizar Texto &amp; Cifrar AES-128]</w:t>
      </w:r>
    </w:p>
    <w:p w:rsidR="00130BA8" w:rsidRDefault="00130BA8">
      <w:pPr>
        <w:pStyle w:val="HTMLconformatoprevio"/>
      </w:pPr>
      <w:r>
        <w:t xml:space="preserve">        E1 --&gt; F[Consulta API IMSS]</w:t>
      </w:r>
    </w:p>
    <w:p w:rsidR="00130BA8" w:rsidRDefault="00130BA8">
      <w:pPr>
        <w:pStyle w:val="HTMLconformatoprevio"/>
      </w:pPr>
      <w:r>
        <w:t xml:space="preserve">    end</w:t>
      </w:r>
    </w:p>
    <w:p w:rsidR="00130BA8" w:rsidRDefault="00130BA8">
      <w:pPr>
        <w:pStyle w:val="HTMLconformatoprevio"/>
      </w:pPr>
      <w:r>
        <w:t xml:space="preserve">    subgraph L [3. Carga]</w:t>
      </w:r>
    </w:p>
    <w:p w:rsidR="00130BA8" w:rsidRDefault="00130BA8">
      <w:pPr>
        <w:pStyle w:val="HTMLconformatoprevio"/>
      </w:pPr>
      <w:r>
        <w:t xml:space="preserve">        F --&gt; G{¿Respuesta PDF exitosa?}</w:t>
      </w:r>
    </w:p>
    <w:p w:rsidR="00130BA8" w:rsidRDefault="00130BA8">
      <w:pPr>
        <w:pStyle w:val="HTMLconformatoprevio"/>
      </w:pPr>
      <w:r>
        <w:t xml:space="preserve">        G --&gt;</w:t>
      </w:r>
      <w:r>
        <w:t>|No: Error 4xx/5xx| H[Insertar en BitacoraEvento como FALLO]</w:t>
      </w:r>
    </w:p>
    <w:p w:rsidR="00130BA8" w:rsidRDefault="00130BA8">
      <w:pPr>
        <w:pStyle w:val="HTMLconformatoprevio"/>
      </w:pPr>
      <w:r>
        <w:t xml:space="preserve">        G --&gt;|Sí: 200 OK| I[Escribir PDF físico en disco]</w:t>
      </w:r>
    </w:p>
    <w:p w:rsidR="00130BA8" w:rsidRDefault="00130BA8">
      <w:pPr>
        <w:pStyle w:val="HTMLconformatoprevio"/>
      </w:pPr>
      <w:r>
        <w:t xml:space="preserve">        I --&gt; J[Insertar Registro en CurpProcesada como EXITO]</w:t>
      </w:r>
    </w:p>
    <w:p w:rsidR="00130BA8" w:rsidRDefault="00130BA8">
      <w:pPr>
        <w:pStyle w:val="HTMLconformatoprevio"/>
      </w:pPr>
      <w:r>
        <w:t xml:space="preserve">    end</w:t>
      </w:r>
    </w:p>
    <w:p w:rsidR="00130BA8" w:rsidRDefault="00130BA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130BA8" w:rsidRDefault="00130BA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Evidencias de Ejecución y Pruebas del Pipeline ETL en Mayo</w:t>
      </w:r>
    </w:p>
    <w:p w:rsidR="00130BA8" w:rsidRDefault="00130BA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Flujo observado o probado en mayo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mayo de 2026, el pipeline central de procesamiento ejecutó la extracción y transformación concurrente de un consolidado de </w:t>
      </w:r>
      <w:r>
        <w:rPr>
          <w:rStyle w:val="Fuerte"/>
          <w:rFonts w:ascii="Calibri" w:hAnsi="Calibri" w:cs="Calibri"/>
          <w:sz w:val="22"/>
          <w:szCs w:val="22"/>
        </w:rPr>
        <w:t>14,500 registros</w:t>
      </w:r>
      <w:r>
        <w:rPr>
          <w:rFonts w:ascii="Calibri" w:hAnsi="Calibri" w:cs="Calibri"/>
          <w:sz w:val="22"/>
          <w:szCs w:val="22"/>
        </w:rPr>
        <w:t xml:space="preserve"> en desarrollo (DEV):</w:t>
      </w:r>
    </w:p>
    <w:p w:rsidR="00130BA8" w:rsidRDefault="00130BA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Extracción (E):</w:t>
      </w:r>
      <w:r>
        <w:rPr>
          <w:rFonts w:ascii="Calibri" w:eastAsia="Times New Roman" w:hAnsi="Calibri" w:cs="Calibri"/>
          <w:sz w:val="22"/>
          <w:szCs w:val="22"/>
        </w:rPr>
        <w:t xml:space="preserve"> Se extrajeron datos relacionales optimizados mediante sentencias multi-tabla de indexación.</w:t>
      </w:r>
    </w:p>
    <w:p w:rsidR="00130BA8" w:rsidRDefault="00130BA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Transformación (T):</w:t>
      </w:r>
      <w:r>
        <w:rPr>
          <w:rFonts w:ascii="Calibri" w:eastAsia="Times New Roman" w:hAnsi="Calibri" w:cs="Calibri"/>
          <w:sz w:val="22"/>
          <w:szCs w:val="22"/>
        </w:rPr>
        <w:t xml:space="preserve"> Se aplicaron reglas lógicas de unificación de caracteres tipográficos, remoción de tildes o caracteres especiales en nombres, encriptación AES-128 del identificador temporal de consulta y validación con expresiones regulares nativas.</w:t>
      </w:r>
    </w:p>
    <w:p w:rsidR="00130BA8" w:rsidRDefault="00130BA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Carga (L):</w:t>
      </w:r>
      <w:r>
        <w:rPr>
          <w:rFonts w:ascii="Calibri" w:eastAsia="Times New Roman" w:hAnsi="Calibri" w:cs="Calibri"/>
          <w:sz w:val="22"/>
          <w:szCs w:val="22"/>
        </w:rPr>
        <w:t xml:space="preserve"> Se registraron de forma relacional 13,920 transacciones correctas en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y se depositaron de forma física en el volumen de almacenamiento segmentado los correspondientes archivos PDF.</w:t>
      </w:r>
    </w:p>
    <w:p w:rsidR="00130BA8" w:rsidRDefault="00130BA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130BA8" w:rsidRDefault="00130BA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Algoritmo de Validación de Formatos y Aislamiento de Errores (Ejemplo Breve de Código)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continuación se detalla el fragmento del script técnico estructurado para canalizar registros deformes u omitir duplicados sin detener la ejecución concurrente, ilustrando la robustez del validador ETL implementado en mayo:</w:t>
      </w:r>
    </w:p>
    <w:p w:rsidR="00130BA8" w:rsidRDefault="00130BA8">
      <w:pPr>
        <w:pStyle w:val="HTMLconformatoprevio"/>
      </w:pPr>
    </w:p>
    <w:p w:rsidR="00130BA8" w:rsidRDefault="00130BA8">
      <w:pPr>
        <w:pStyle w:val="HTMLconformatoprevio"/>
      </w:pPr>
      <w:r>
        <w:t>import re</w:t>
      </w:r>
    </w:p>
    <w:p w:rsidR="00130BA8" w:rsidRDefault="00130BA8">
      <w:pPr>
        <w:pStyle w:val="HTMLconformatoprevio"/>
      </w:pPr>
      <w:r>
        <w:t>import json</w:t>
      </w:r>
    </w:p>
    <w:p w:rsidR="00130BA8" w:rsidRDefault="00130BA8">
      <w:pPr>
        <w:pStyle w:val="HTMLconformatoprevio"/>
      </w:pPr>
    </w:p>
    <w:p w:rsidR="00130BA8" w:rsidRDefault="00130BA8">
      <w:pPr>
        <w:pStyle w:val="HTMLconformatoprevio"/>
      </w:pPr>
      <w:r>
        <w:t>def process_etl_record(record, destination_file="depuracion_errores.json"):</w:t>
      </w:r>
    </w:p>
    <w:p w:rsidR="00130BA8" w:rsidRDefault="00130BA8">
      <w:pPr>
        <w:pStyle w:val="HTMLconformatoprevio"/>
      </w:pPr>
      <w:r>
        <w:t xml:space="preserve">    # Expresión regular oficial para validación de CURP</w:t>
      </w:r>
    </w:p>
    <w:p w:rsidR="00130BA8" w:rsidRDefault="00130BA8">
      <w:pPr>
        <w:pStyle w:val="HTMLconformatoprevio"/>
      </w:pPr>
      <w:r>
        <w:t xml:space="preserve">    curp_pattern = re.compile(r"^[A-Z]{4}[0-9]{6}[H,M][A-Z]{5}[0-9,A-Z][0-9]$")</w:t>
      </w:r>
    </w:p>
    <w:p w:rsidR="00130BA8" w:rsidRDefault="00130BA8">
      <w:pPr>
        <w:pStyle w:val="HTMLconformatoprevio"/>
      </w:pPr>
      <w:r>
        <w:t xml:space="preserve">    curp = record.get("curp", "").strip().upper()</w:t>
      </w:r>
    </w:p>
    <w:p w:rsidR="00130BA8" w:rsidRDefault="00130BA8">
      <w:pPr>
        <w:pStyle w:val="HTMLconformatoprevio"/>
      </w:pPr>
      <w:r>
        <w:t xml:space="preserve">    </w:t>
      </w:r>
    </w:p>
    <w:p w:rsidR="00130BA8" w:rsidRDefault="00130BA8">
      <w:pPr>
        <w:pStyle w:val="HTMLconformatoprevio"/>
      </w:pPr>
      <w:r>
        <w:t xml:space="preserve">    # 1. Validación de Estructura Lógica</w:t>
      </w:r>
    </w:p>
    <w:p w:rsidR="00130BA8" w:rsidRDefault="00130BA8">
      <w:pPr>
        <w:pStyle w:val="HTMLconformatoprevio"/>
      </w:pPr>
      <w:r>
        <w:t xml:space="preserve">    </w:t>
      </w:r>
      <w:r>
        <w:t>if not curp_pattern.match(curp):</w:t>
      </w:r>
    </w:p>
    <w:p w:rsidR="00130BA8" w:rsidRDefault="00130BA8">
      <w:pPr>
        <w:pStyle w:val="HTMLconformatoprevio"/>
      </w:pPr>
      <w:r>
        <w:t xml:space="preserve">        error_payload = {</w:t>
      </w:r>
    </w:p>
    <w:p w:rsidR="00130BA8" w:rsidRDefault="00130BA8">
      <w:pPr>
        <w:pStyle w:val="HTMLconformatoprevio"/>
      </w:pPr>
      <w:r>
        <w:t xml:space="preserve">            "id_registro": record.get("id"),</w:t>
      </w:r>
    </w:p>
    <w:p w:rsidR="00130BA8" w:rsidRDefault="00130BA8">
      <w:pPr>
        <w:pStyle w:val="HTMLconformatoprevio"/>
      </w:pPr>
      <w:r>
        <w:t xml:space="preserve">            "curp_invalida": curp,</w:t>
      </w:r>
    </w:p>
    <w:p w:rsidR="00130BA8" w:rsidRDefault="00130BA8">
      <w:pPr>
        <w:pStyle w:val="HTMLconformatoprevio"/>
      </w:pPr>
      <w:r>
        <w:t xml:space="preserve">            "motivo_desvio": "Estructura de CURP o longitud incorrecta",</w:t>
      </w:r>
    </w:p>
    <w:p w:rsidR="00130BA8" w:rsidRDefault="00130BA8">
      <w:pPr>
        <w:pStyle w:val="HTMLconformatoprevio"/>
      </w:pPr>
      <w:r>
        <w:t xml:space="preserve">            "origen_lote": record.get("id_lote")</w:t>
      </w:r>
    </w:p>
    <w:p w:rsidR="00130BA8" w:rsidRDefault="00130BA8">
      <w:pPr>
        <w:pStyle w:val="HTMLconformatoprevio"/>
      </w:pPr>
      <w:r>
        <w:t xml:space="preserve">        }</w:t>
      </w:r>
    </w:p>
    <w:p w:rsidR="00130BA8" w:rsidRDefault="00130BA8">
      <w:pPr>
        <w:pStyle w:val="HTMLconformatoprevio"/>
      </w:pPr>
      <w:r>
        <w:t xml:space="preserve">        # Desvío inmediato a Dead Letter Queue (Aislamiento físico en JSON Plano)</w:t>
      </w:r>
    </w:p>
    <w:p w:rsidR="00130BA8" w:rsidRDefault="00130BA8">
      <w:pPr>
        <w:pStyle w:val="HTMLconformatoprevio"/>
      </w:pPr>
      <w:r>
        <w:t xml:space="preserve">        with open(destination_file, "a") as f:</w:t>
      </w:r>
    </w:p>
    <w:p w:rsidR="00130BA8" w:rsidRDefault="00130BA8">
      <w:pPr>
        <w:pStyle w:val="HTMLconformatoprevio"/>
      </w:pPr>
      <w:r>
        <w:t xml:space="preserve">            f.write(json.dumps(error_payload) + "\n")</w:t>
      </w:r>
    </w:p>
    <w:p w:rsidR="00130BA8" w:rsidRDefault="00130BA8">
      <w:pPr>
        <w:pStyle w:val="HTMLconformatoprevio"/>
      </w:pPr>
      <w:r>
        <w:t xml:space="preserve">        return False, "DESVIADO"</w:t>
      </w:r>
    </w:p>
    <w:p w:rsidR="00130BA8" w:rsidRDefault="00130BA8">
      <w:pPr>
        <w:pStyle w:val="HTMLconformatoprevio"/>
      </w:pPr>
      <w:r>
        <w:t xml:space="preserve">        </w:t>
      </w:r>
    </w:p>
    <w:p w:rsidR="00130BA8" w:rsidRDefault="00130BA8">
      <w:pPr>
        <w:pStyle w:val="HTMLconformatoprevio"/>
      </w:pPr>
      <w:r>
        <w:t xml:space="preserve">    # 2. Continúa con normalización y cifrado estándar</w:t>
      </w:r>
    </w:p>
    <w:p w:rsidR="00130BA8" w:rsidRDefault="00130BA8">
      <w:pPr>
        <w:pStyle w:val="HTMLconformatoprevio"/>
      </w:pPr>
      <w:r>
        <w:t xml:space="preserve">    normalized_name = record.get("nombre", "").strip().encode('ascii', 'ignore').decode('ascii')</w:t>
      </w:r>
    </w:p>
    <w:p w:rsidR="00130BA8" w:rsidRDefault="00130BA8">
      <w:pPr>
        <w:pStyle w:val="HTMLconformatoprevio"/>
      </w:pPr>
      <w:r>
        <w:t xml:space="preserve">    return True, {"curp": curp, "nombre_normalizado": normalized_name}</w:t>
      </w:r>
    </w:p>
    <w:p w:rsidR="00130BA8" w:rsidRDefault="00130BA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130BA8" w:rsidRDefault="00130BA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Validaciones estructurales y de integridad del mes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establecieron de manera rigurosa cuatro filtros lógicos sobre los insumos operativos para certificar la consistencia:</w:t>
      </w:r>
    </w:p>
    <w:p w:rsidR="00130BA8" w:rsidRDefault="00130BA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Validación del Centro de Trabajo (CCT):</w:t>
      </w:r>
      <w:r>
        <w:rPr>
          <w:rFonts w:ascii="Calibri" w:eastAsia="Times New Roman" w:hAnsi="Calibri" w:cs="Calibri"/>
          <w:sz w:val="22"/>
          <w:szCs w:val="22"/>
        </w:rPr>
        <w:t xml:space="preserve"> Cruzar la existencia contra la tabla </w:t>
      </w:r>
      <w:r>
        <w:rPr>
          <w:rStyle w:val="CdigoHTML"/>
        </w:rPr>
        <w:t>catalogo_cct</w:t>
      </w:r>
      <w:r>
        <w:rPr>
          <w:rFonts w:ascii="Calibri" w:eastAsia="Times New Roman" w:hAnsi="Calibri" w:cs="Calibri"/>
          <w:sz w:val="22"/>
          <w:szCs w:val="22"/>
        </w:rPr>
        <w:t xml:space="preserve"> antes de iniciar la petición al IMSS.</w:t>
      </w:r>
    </w:p>
    <w:p w:rsidR="00130BA8" w:rsidRDefault="00130BA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Validación de duplicados unificados:</w:t>
      </w:r>
      <w:r>
        <w:rPr>
          <w:rFonts w:ascii="Calibri" w:eastAsia="Times New Roman" w:hAnsi="Calibri" w:cs="Calibri"/>
          <w:sz w:val="22"/>
          <w:szCs w:val="22"/>
        </w:rPr>
        <w:t xml:space="preserve"> Descartar en memoria registros coincidentes pertenecientes al mismo estudiante en el mismo período académico.</w:t>
      </w:r>
    </w:p>
    <w:p w:rsidR="00130BA8" w:rsidRDefault="00130BA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Validación del Ciclo Escolar:</w:t>
      </w:r>
      <w:r>
        <w:rPr>
          <w:rFonts w:ascii="Calibri" w:eastAsia="Times New Roman" w:hAnsi="Calibri" w:cs="Calibri"/>
          <w:sz w:val="22"/>
          <w:szCs w:val="22"/>
        </w:rPr>
        <w:t xml:space="preserve"> Filtrado restrictivo en consultas SQL DEV para procesar de forma exclusiva el ciclo operativo activo de 2026.</w:t>
      </w:r>
    </w:p>
    <w:p w:rsidR="00130BA8" w:rsidRDefault="00130BA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130BA8" w:rsidRDefault="00130BA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Depuración e incidencias identificadas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blindaje implementado permitió mitigar pérdidas de rendimiento durante el procesamiento de Puebla (</w:t>
      </w:r>
      <w:r>
        <w:rPr>
          <w:rStyle w:val="CdigoHTML"/>
        </w:rPr>
        <w:t>LOTE-202605-02</w:t>
      </w:r>
      <w:r>
        <w:rPr>
          <w:rFonts w:ascii="Calibri" w:hAnsi="Calibri" w:cs="Calibri"/>
          <w:sz w:val="22"/>
          <w:szCs w:val="22"/>
        </w:rPr>
        <w:t>):</w:t>
      </w:r>
    </w:p>
    <w:p w:rsidR="00130BA8" w:rsidRDefault="00130BA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Aislamiento de CURPs anómalas:</w:t>
      </w:r>
      <w:r>
        <w:rPr>
          <w:rFonts w:ascii="Calibri" w:eastAsia="Times New Roman" w:hAnsi="Calibri" w:cs="Calibri"/>
          <w:sz w:val="22"/>
          <w:szCs w:val="22"/>
        </w:rPr>
        <w:t xml:space="preserve"> Un total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45 registros</w:t>
      </w:r>
      <w:r>
        <w:rPr>
          <w:rFonts w:ascii="Calibri" w:eastAsia="Times New Roman" w:hAnsi="Calibri" w:cs="Calibri"/>
          <w:sz w:val="22"/>
          <w:szCs w:val="22"/>
        </w:rPr>
        <w:t xml:space="preserve"> presentaban CURPs deformes (longitudes mayores a 18 bytes o caracteres tipográficos distorsionados). El orquestador desvió automáticamente estas transacciones al log </w:t>
      </w:r>
      <w:r>
        <w:rPr>
          <w:rStyle w:val="CdigoHTML"/>
        </w:rPr>
        <w:t>depuracion_errores.json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130BA8" w:rsidRDefault="00130BA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Tratamiento del Rate-limit:</w:t>
      </w:r>
      <w:r>
        <w:rPr>
          <w:rFonts w:ascii="Calibri" w:eastAsia="Times New Roman" w:hAnsi="Calibri" w:cs="Calibri"/>
          <w:sz w:val="22"/>
          <w:szCs w:val="22"/>
        </w:rPr>
        <w:t xml:space="preserve"> Se integró la rutina automática de retardo exponencial (*Exponential Back-off*) en </w:t>
      </w:r>
      <w:r>
        <w:rPr>
          <w:rStyle w:val="CdigoHTML"/>
        </w:rPr>
        <w:t>orchestrator.py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para reintentar peticiones a la API del IMSS tras eventos de congestión del cortafuegos de red, garantizando la resiliencia del canal sin forzar depuraciones manuales.</w:t>
      </w:r>
    </w:p>
    <w:p w:rsidR="00130BA8" w:rsidRDefault="00130BA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130BA8" w:rsidRDefault="00130BA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Formatos y alcance contractual de layouts intermedios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Aunque el flujo principal y más controlado de producción opera en PostgreSQL relacional, en mayo de 2026 se desarrolló y ejecutó con éxito el script de prueba complementaria </w:t>
      </w:r>
      <w:r>
        <w:rPr>
          <w:rStyle w:val="CdigoHTML"/>
        </w:rPr>
        <w:t>etl_flat_files_test.py</w:t>
      </w:r>
      <w:r>
        <w:rPr>
          <w:rFonts w:ascii="Calibri" w:hAnsi="Calibri" w:cs="Calibri"/>
          <w:sz w:val="22"/>
          <w:szCs w:val="22"/>
        </w:rPr>
        <w:t xml:space="preserve"> con insumos planos para certificar la compatibilidad multiformato exigida contractualmente:</w:t>
      </w:r>
    </w:p>
    <w:p w:rsidR="00130BA8" w:rsidRDefault="00130BA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Formatos planos (CSV y XLSX):</w:t>
      </w:r>
      <w:r>
        <w:rPr>
          <w:rFonts w:ascii="Calibri" w:eastAsia="Times New Roman" w:hAnsi="Calibri" w:cs="Calibri"/>
          <w:sz w:val="22"/>
          <w:szCs w:val="22"/>
        </w:rPr>
        <w:t xml:space="preserve"> Se procesaron de forma simulada dos lotes planos de 500 filas cada uno, verificando la consistencia cruzada de encabezados, columnas de CURP y nombres de escuelas sin colisiones lógicas.</w:t>
      </w:r>
    </w:p>
    <w:p w:rsidR="00130BA8" w:rsidRDefault="00130BA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Formatos estructurados (XML y JSON):</w:t>
      </w:r>
      <w:r>
        <w:rPr>
          <w:rFonts w:ascii="Calibri" w:eastAsia="Times New Roman" w:hAnsi="Calibri" w:cs="Calibri"/>
          <w:sz w:val="22"/>
          <w:szCs w:val="22"/>
        </w:rPr>
        <w:t xml:space="preserve"> Se validó la desestructuración sintáctica de respuestas web complejas, mapeando con éxito etiquetas de salida a las tablas relacionales operativas de persistencia intermedia.</w:t>
      </w:r>
    </w:p>
    <w:p w:rsidR="00130BA8" w:rsidRDefault="00130BA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Riesgos y Dependencias para Mayo</w:t>
      </w:r>
    </w:p>
    <w:p w:rsidR="00130BA8" w:rsidRDefault="00130BA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Acoplamiento de layouts externos:</w:t>
      </w:r>
      <w:r>
        <w:rPr>
          <w:rFonts w:ascii="Calibri" w:eastAsia="Times New Roman" w:hAnsi="Calibri" w:cs="Calibri"/>
          <w:sz w:val="22"/>
          <w:szCs w:val="22"/>
        </w:rPr>
        <w:t xml:space="preserve"> El riesgo latente de que los layouts de los sistemas del IMSS modifiquen su estructura de retorno en formato JSON/XML sin previo aviso en junio, requiriendo adaptadores de transformación altamente dinámicos.</w:t>
      </w:r>
    </w:p>
    <w:p w:rsidR="00130BA8" w:rsidRDefault="00130BA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Diferenciación de flujo:</w:t>
      </w:r>
      <w:r>
        <w:rPr>
          <w:rFonts w:ascii="Calibri" w:eastAsia="Times New Roman" w:hAnsi="Calibri" w:cs="Calibri"/>
          <w:sz w:val="22"/>
          <w:szCs w:val="22"/>
        </w:rPr>
        <w:t xml:space="preserve"> Mantener una clara asignación entre los scripts de simulación multiformato y el pipeline relacional PostgreSQL productivo diario.</w:t>
      </w:r>
    </w:p>
    <w:p w:rsidR="00130BA8" w:rsidRDefault="00130BA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Próximos Pasos rumbo a Junio</w:t>
      </w:r>
    </w:p>
    <w:p w:rsidR="00130BA8" w:rsidRDefault="00130BA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Consolidar las rutinas de desvío automático de errores de mayo de forma definitiva en producción.</w:t>
      </w:r>
    </w:p>
    <w:p w:rsidR="00130BA8" w:rsidRDefault="00130BA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Establecer esquemas de mapeo integrales unificados para insumos multilaterales en junio.</w:t>
      </w:r>
    </w:p>
    <w:p w:rsidR="00130BA8" w:rsidRDefault="00130BA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Certificar la comparativa trimestral de integridad de datos procesados al 30 de junio.</w:t>
      </w:r>
    </w:p>
    <w:p w:rsidR="00130BA8" w:rsidRDefault="00130BA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2" style="width:0;height:1.5pt" o:hralign="center" o:hrstd="t" o:hr="t" fillcolor="#a0a0a0" stroked="f"/>
        </w:pic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:rsidR="00130BA8" w:rsidRDefault="00130BA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informe operativo ETL de mayo consolida la evidencia fidedigna de las fases de ingesta, depurando de forma segura 45 incoherencias de datos y validando con total éxito los formatos planos exigidos contractualmente.</w:t>
      </w:r>
    </w:p>
    <w:sectPr w:rsidR="00130B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2D5C"/>
    <w:multiLevelType w:val="multilevel"/>
    <w:tmpl w:val="9EF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F19F1"/>
    <w:multiLevelType w:val="multilevel"/>
    <w:tmpl w:val="C04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2E31"/>
    <w:multiLevelType w:val="multilevel"/>
    <w:tmpl w:val="820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266C6"/>
    <w:multiLevelType w:val="multilevel"/>
    <w:tmpl w:val="4E46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97C95"/>
    <w:multiLevelType w:val="multilevel"/>
    <w:tmpl w:val="4CB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F62D9"/>
    <w:multiLevelType w:val="multilevel"/>
    <w:tmpl w:val="CEC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13F01"/>
    <w:multiLevelType w:val="multilevel"/>
    <w:tmpl w:val="ACDA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251883">
    <w:abstractNumId w:val="3"/>
  </w:num>
  <w:num w:numId="2" w16cid:durableId="158160678">
    <w:abstractNumId w:val="6"/>
  </w:num>
  <w:num w:numId="3" w16cid:durableId="1113282389">
    <w:abstractNumId w:val="0"/>
  </w:num>
  <w:num w:numId="4" w16cid:durableId="560411922">
    <w:abstractNumId w:val="1"/>
  </w:num>
  <w:num w:numId="5" w16cid:durableId="457995620">
    <w:abstractNumId w:val="2"/>
  </w:num>
  <w:num w:numId="6" w16cid:durableId="1337927256">
    <w:abstractNumId w:val="5"/>
  </w:num>
  <w:num w:numId="7" w16cid:durableId="1240943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82"/>
    <w:rsid w:val="00130BA8"/>
    <w:rsid w:val="00721382"/>
    <w:rsid w:val="009D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C0974-D71B-4094-9056-1A5E045D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 Polanco</dc:creator>
  <cp:keywords/>
  <dc:description/>
  <cp:lastModifiedBy>Victor Lelo de Larrea Polanco</cp:lastModifiedBy>
  <cp:revision>2</cp:revision>
  <dcterms:created xsi:type="dcterms:W3CDTF">2026-06-01T20:53:00Z</dcterms:created>
  <dcterms:modified xsi:type="dcterms:W3CDTF">2026-06-01T20:53:00Z</dcterms:modified>
</cp:coreProperties>
</file>