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E6B0B" w14:textId="77777777" w:rsidR="00B22A1A" w:rsidRDefault="00B22A1A">
      <w:pPr>
        <w:pStyle w:val="Ttulo1"/>
        <w:rPr>
          <w:rFonts w:ascii="Calibri" w:eastAsia="Times New Roman" w:hAnsi="Calibri" w:cs="Calibri"/>
        </w:rPr>
      </w:pPr>
      <w:r>
        <w:rPr>
          <w:rFonts w:ascii="Calibri" w:eastAsia="Times New Roman" w:hAnsi="Calibri" w:cs="Calibri"/>
        </w:rPr>
        <w:t>Informe Mensual de Pruebas y Procesos de Ingesta (ETL/ELT)</w:t>
      </w:r>
    </w:p>
    <w:p w14:paraId="756D7370" w14:textId="77777777" w:rsidR="00B22A1A" w:rsidRDefault="00B22A1A">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02F285DA" w14:textId="77777777" w:rsidR="00B22A1A" w:rsidRDefault="00B22A1A">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2D05C0E8" w14:textId="77777777" w:rsidR="00B22A1A" w:rsidRDefault="00B22A1A">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50C64D6A" w14:textId="77777777" w:rsidR="00B22A1A" w:rsidRDefault="00B22A1A">
      <w:pPr>
        <w:rPr>
          <w:rFonts w:ascii="Calibri" w:eastAsia="Times New Roman" w:hAnsi="Calibri" w:cs="Calibri"/>
        </w:rPr>
      </w:pPr>
      <w:r>
        <w:rPr>
          <w:rFonts w:ascii="Calibri" w:eastAsia="Times New Roman" w:hAnsi="Calibri" w:cs="Calibri"/>
        </w:rPr>
        <w:pict w14:anchorId="32FF42ED">
          <v:rect id="_x0000_i1025" style="width:0;height:1.5pt" o:hralign="center" o:hrstd="t" o:hr="t" fillcolor="#a0a0a0" stroked="f"/>
        </w:pict>
      </w:r>
    </w:p>
    <w:p w14:paraId="6294B0C6" w14:textId="77777777" w:rsidR="00B22A1A" w:rsidRDefault="00B22A1A">
      <w:pPr>
        <w:pStyle w:val="Ttulo2"/>
        <w:rPr>
          <w:rFonts w:ascii="Calibri" w:eastAsia="Times New Roman" w:hAnsi="Calibri" w:cs="Calibri"/>
        </w:rPr>
      </w:pPr>
      <w:r>
        <w:rPr>
          <w:rFonts w:ascii="Calibri" w:eastAsia="Times New Roman" w:hAnsi="Calibri" w:cs="Calibri"/>
        </w:rPr>
        <w:t>1. Objeto del Entregable</w:t>
      </w:r>
    </w:p>
    <w:p w14:paraId="7D4E90E4" w14:textId="77777777" w:rsidR="00B22A1A" w:rsidRDefault="00B22A1A">
      <w:pPr>
        <w:pStyle w:val="NormalWeb"/>
        <w:rPr>
          <w:rFonts w:ascii="Calibri" w:hAnsi="Calibri" w:cs="Calibri"/>
          <w:sz w:val="22"/>
          <w:szCs w:val="22"/>
        </w:rPr>
      </w:pPr>
      <w:r>
        <w:rPr>
          <w:rFonts w:ascii="Calibri" w:hAnsi="Calibri" w:cs="Calibri"/>
          <w:sz w:val="22"/>
          <w:szCs w:val="22"/>
        </w:rPr>
        <w:t>Documentar los procesos técnicos, validaciones de negocio, y las ejecuciones sistemáticas del *pipeline* de Extracción, Transformación y Carga (ETL) diseñados para la Fase 2 del orquestador de Vida Saludable. Este informe detalla las pruebas de volumetría, cruces masivos con catálogos en PostgreSQL y procesos automatizados de *Data Profiling* sobre bases de datos secundarias como Oracle 19c (</w:t>
      </w:r>
      <w:r>
        <w:rPr>
          <w:rStyle w:val="CdigoHTML"/>
        </w:rPr>
        <w:t>SEP_MUSEMS_PU</w:t>
      </w:r>
      <w:r>
        <w:rPr>
          <w:rFonts w:ascii="Calibri" w:hAnsi="Calibri" w:cs="Calibri"/>
          <w:sz w:val="22"/>
          <w:szCs w:val="22"/>
        </w:rPr>
        <w:t>).</w:t>
      </w:r>
    </w:p>
    <w:p w14:paraId="4A19696C" w14:textId="77777777" w:rsidR="00B22A1A" w:rsidRDefault="00B22A1A">
      <w:pPr>
        <w:pStyle w:val="Ttulo2"/>
        <w:rPr>
          <w:rFonts w:ascii="Calibri" w:eastAsia="Times New Roman" w:hAnsi="Calibri" w:cs="Calibri"/>
        </w:rPr>
      </w:pPr>
      <w:r>
        <w:rPr>
          <w:rFonts w:ascii="Calibri" w:eastAsia="Times New Roman" w:hAnsi="Calibri" w:cs="Calibri"/>
        </w:rPr>
        <w:t>2. Alcance del Avance de Mayo</w:t>
      </w:r>
    </w:p>
    <w:p w14:paraId="4BEE31F8" w14:textId="77777777" w:rsidR="00B22A1A" w:rsidRDefault="00B22A1A">
      <w:pPr>
        <w:pStyle w:val="NormalWeb"/>
        <w:rPr>
          <w:rFonts w:ascii="Calibri" w:hAnsi="Calibri" w:cs="Calibri"/>
          <w:sz w:val="22"/>
          <w:szCs w:val="22"/>
        </w:rPr>
      </w:pPr>
      <w:r>
        <w:rPr>
          <w:rFonts w:ascii="Calibri" w:hAnsi="Calibri" w:cs="Calibri"/>
          <w:sz w:val="22"/>
          <w:szCs w:val="22"/>
        </w:rPr>
        <w:t xml:space="preserve">A diferencia del mes de abril, en el que se delineó la arquitectura teórica ETL y sus mapeos conceptuales, durante mayo el trabajo consistió en someter los componentes del *pipeline* a entornos de ejecución reales bajo estrés. </w:t>
      </w:r>
    </w:p>
    <w:p w14:paraId="0BFFD9DA" w14:textId="77777777" w:rsidR="00B22A1A" w:rsidRDefault="00B22A1A">
      <w:pPr>
        <w:pStyle w:val="NormalWeb"/>
        <w:rPr>
          <w:rFonts w:ascii="Calibri" w:hAnsi="Calibri" w:cs="Calibri"/>
          <w:sz w:val="22"/>
          <w:szCs w:val="22"/>
        </w:rPr>
      </w:pPr>
      <w:r>
        <w:rPr>
          <w:rFonts w:ascii="Calibri" w:hAnsi="Calibri" w:cs="Calibri"/>
          <w:sz w:val="22"/>
          <w:szCs w:val="22"/>
        </w:rPr>
        <w:t>El avance de mayo comprende:</w:t>
      </w:r>
    </w:p>
    <w:p w14:paraId="7155431B" w14:textId="77777777" w:rsidR="00B22A1A" w:rsidRDefault="00B22A1A" w:rsidP="00B22A1A">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La instrumentación de validadores previos a la carga (*Data Profiling*) sobre archivos planos (CSV).</w:t>
      </w:r>
    </w:p>
    <w:p w14:paraId="6EFC4483" w14:textId="77777777" w:rsidR="00B22A1A" w:rsidRDefault="00B22A1A" w:rsidP="00B22A1A">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Pruebas reales de ingesta transaccional (14,500 registros) verificando el cifrado en la capa de transformación.</w:t>
      </w:r>
    </w:p>
    <w:p w14:paraId="5EDD5065" w14:textId="77777777" w:rsidR="00B22A1A" w:rsidRDefault="00B22A1A" w:rsidP="00B22A1A">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Implementación de patrones de resiliencia como transacciones por bloques (*batch commits*) para evitar la saturación de los *Tablespaces* y la RAM del servidor PostgreSQL.</w:t>
      </w:r>
    </w:p>
    <w:p w14:paraId="6B6227CD" w14:textId="77777777" w:rsidR="00B22A1A" w:rsidRDefault="00B22A1A">
      <w:pPr>
        <w:pStyle w:val="Ttulo2"/>
        <w:rPr>
          <w:rFonts w:ascii="Calibri" w:eastAsia="Times New Roman" w:hAnsi="Calibri" w:cs="Calibri"/>
        </w:rPr>
      </w:pPr>
      <w:r>
        <w:rPr>
          <w:rFonts w:ascii="Calibri" w:eastAsia="Times New Roman" w:hAnsi="Calibri" w:cs="Calibri"/>
        </w:rPr>
        <w:t>3. Ingesta y Validación de Archivos (*Data Profiling*)</w:t>
      </w:r>
    </w:p>
    <w:p w14:paraId="2F9DE001" w14:textId="77777777" w:rsidR="00B22A1A" w:rsidRDefault="00B22A1A">
      <w:pPr>
        <w:pStyle w:val="NormalWeb"/>
        <w:rPr>
          <w:rFonts w:ascii="Calibri" w:hAnsi="Calibri" w:cs="Calibri"/>
          <w:sz w:val="22"/>
          <w:szCs w:val="22"/>
        </w:rPr>
      </w:pPr>
      <w:r>
        <w:rPr>
          <w:rFonts w:ascii="Calibri" w:hAnsi="Calibri" w:cs="Calibri"/>
          <w:sz w:val="22"/>
          <w:szCs w:val="22"/>
        </w:rPr>
        <w:t>Conforme al plan de trabajo de la Fase 2, la ingesta en bruto (ELT) se complementó con una fase rigurosa de pre-procesamiento donde los datos de origen no ingresan a las tablas operativas sin ser previamente limpiados y validados.</w:t>
      </w:r>
    </w:p>
    <w:p w14:paraId="56A75C01" w14:textId="77777777" w:rsidR="00B22A1A" w:rsidRDefault="00B22A1A">
      <w:pPr>
        <w:pStyle w:val="Ttulo3"/>
        <w:rPr>
          <w:rFonts w:ascii="Calibri" w:eastAsia="Times New Roman" w:hAnsi="Calibri" w:cs="Calibri"/>
        </w:rPr>
      </w:pPr>
      <w:r>
        <w:rPr>
          <w:rFonts w:ascii="Calibri" w:eastAsia="Times New Roman" w:hAnsi="Calibri" w:cs="Calibri"/>
        </w:rPr>
        <w:t>3.1 Depuración Automática de Layouts Planos</w:t>
      </w:r>
    </w:p>
    <w:p w14:paraId="6D8183CD" w14:textId="77777777" w:rsidR="00B22A1A" w:rsidRDefault="00B22A1A">
      <w:pPr>
        <w:pStyle w:val="NormalWeb"/>
        <w:rPr>
          <w:rFonts w:ascii="Calibri" w:hAnsi="Calibri" w:cs="Calibri"/>
          <w:sz w:val="22"/>
          <w:szCs w:val="22"/>
        </w:rPr>
      </w:pPr>
      <w:r>
        <w:rPr>
          <w:rFonts w:ascii="Calibri" w:hAnsi="Calibri" w:cs="Calibri"/>
          <w:sz w:val="22"/>
          <w:szCs w:val="22"/>
        </w:rPr>
        <w:t>Durante la carga simulada en el entorno de DEV para el padrón de alumnos del estado de Puebla (prefijo "21"), el motor de validación aisló eficientemente los problemas de diseño de los archivos origen.</w:t>
      </w:r>
    </w:p>
    <w:p w14:paraId="1CAA4FD4" w14:textId="77777777" w:rsidR="00B22A1A" w:rsidRDefault="00B22A1A" w:rsidP="00B22A1A">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Detección de Anomalías:</w:t>
      </w:r>
      <w:r>
        <w:rPr>
          <w:rFonts w:ascii="Calibri" w:eastAsia="Times New Roman" w:hAnsi="Calibri" w:cs="Calibri"/>
        </w:rPr>
        <w:t xml:space="preserve"> El script de ingesta </w:t>
      </w:r>
      <w:r>
        <w:rPr>
          <w:rStyle w:val="CdigoHTML"/>
        </w:rPr>
        <w:t>etl_flat_files_test.py</w:t>
      </w:r>
      <w:r>
        <w:rPr>
          <w:rFonts w:ascii="Calibri" w:eastAsia="Times New Roman" w:hAnsi="Calibri" w:cs="Calibri"/>
        </w:rPr>
        <w:t xml:space="preserve"> identificó la ausencia de correlación entre Claves de Centro de Trabajo (CCTs) recibidas en el CSV y el catálogo oficial </w:t>
      </w:r>
      <w:r>
        <w:rPr>
          <w:rStyle w:val="CdigoHTML"/>
        </w:rPr>
        <w:t>catalogo_cct</w:t>
      </w:r>
      <w:r>
        <w:rPr>
          <w:rFonts w:ascii="Calibri" w:eastAsia="Times New Roman" w:hAnsi="Calibri" w:cs="Calibri"/>
        </w:rPr>
        <w:t xml:space="preserve"> residente en PostgreSQL.</w:t>
      </w:r>
    </w:p>
    <w:p w14:paraId="4CC53156" w14:textId="77777777" w:rsidR="00B22A1A" w:rsidRDefault="00B22A1A" w:rsidP="00B22A1A">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Desvío Preventivo (*Dead Letter Queue*):</w:t>
      </w:r>
      <w:r>
        <w:rPr>
          <w:rFonts w:ascii="Calibri" w:eastAsia="Times New Roman" w:hAnsi="Calibri" w:cs="Calibri"/>
        </w:rPr>
        <w:t xml:space="preserve"> Un total de 45 registros incoherentes (con longitudes inválidas en la CURP o CCTs inexistentes) fueron desviados dinámicamente al archivo de registro en cuarentena </w:t>
      </w:r>
      <w:r>
        <w:rPr>
          <w:rStyle w:val="CdigoHTML"/>
        </w:rPr>
        <w:t>depuracion_errores.json</w:t>
      </w:r>
      <w:r>
        <w:rPr>
          <w:rFonts w:ascii="Calibri" w:eastAsia="Times New Roman" w:hAnsi="Calibri" w:cs="Calibri"/>
        </w:rPr>
        <w:t>.</w:t>
      </w:r>
    </w:p>
    <w:p w14:paraId="4402885C" w14:textId="77777777" w:rsidR="00B22A1A" w:rsidRDefault="00B22A1A" w:rsidP="00B22A1A">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Impacto Operativo:</w:t>
      </w:r>
      <w:r>
        <w:rPr>
          <w:rFonts w:ascii="Calibri" w:eastAsia="Times New Roman" w:hAnsi="Calibri" w:cs="Calibri"/>
        </w:rPr>
        <w:t xml:space="preserve"> Este patrón impidió que el orquestador principal desencadenara llamadas HTTP (WAF) inútiles hacia la API IMSS, demostrando la eficacia de capturar errores semánticos en las fases tempranas del ETL.</w:t>
      </w:r>
    </w:p>
    <w:p w14:paraId="3035FC47" w14:textId="77777777" w:rsidR="00B22A1A" w:rsidRDefault="00B22A1A">
      <w:pPr>
        <w:pStyle w:val="NormalWeb"/>
        <w:rPr>
          <w:rFonts w:ascii="Calibri" w:hAnsi="Calibri" w:cs="Calibri"/>
          <w:sz w:val="22"/>
          <w:szCs w:val="22"/>
        </w:rPr>
      </w:pPr>
      <w:r>
        <w:rPr>
          <w:rStyle w:val="Fuerte"/>
          <w:rFonts w:ascii="Calibri" w:hAnsi="Calibri" w:cs="Calibri"/>
          <w:sz w:val="22"/>
          <w:szCs w:val="22"/>
        </w:rPr>
        <w:t>Snippet de Registro en Dead Letter Queue (</w:t>
      </w:r>
      <w:r>
        <w:rPr>
          <w:rStyle w:val="CdigoHTML"/>
          <w:b/>
          <w:bCs/>
        </w:rPr>
        <w:t>depuracion_errores.json</w:t>
      </w:r>
      <w:r>
        <w:rPr>
          <w:rStyle w:val="Fuerte"/>
          <w:rFonts w:ascii="Calibri" w:hAnsi="Calibri" w:cs="Calibri"/>
          <w:sz w:val="22"/>
          <w:szCs w:val="22"/>
        </w:rPr>
        <w:t>):</w:t>
      </w:r>
    </w:p>
    <w:p w14:paraId="221BF4E1" w14:textId="77777777" w:rsidR="00B22A1A" w:rsidRDefault="00B22A1A">
      <w:pPr>
        <w:pStyle w:val="HTMLconformatoprevio"/>
      </w:pPr>
    </w:p>
    <w:p w14:paraId="258E2159" w14:textId="77777777" w:rsidR="00B22A1A" w:rsidRDefault="00B22A1A">
      <w:pPr>
        <w:pStyle w:val="HTMLconformatoprevio"/>
      </w:pPr>
      <w:r>
        <w:t>{</w:t>
      </w:r>
    </w:p>
    <w:p w14:paraId="58A2235B" w14:textId="77777777" w:rsidR="00B22A1A" w:rsidRDefault="00B22A1A">
      <w:pPr>
        <w:pStyle w:val="HTMLconformatoprevio"/>
      </w:pPr>
      <w:r>
        <w:t xml:space="preserve">  "timestamp": "2026-05-18T10:45:33Z",</w:t>
      </w:r>
    </w:p>
    <w:p w14:paraId="5F333399" w14:textId="77777777" w:rsidR="00B22A1A" w:rsidRDefault="00B22A1A">
      <w:pPr>
        <w:pStyle w:val="HTMLconformatoprevio"/>
      </w:pPr>
      <w:r>
        <w:t xml:space="preserve">  "lote_id": "LOTE-202605-02",</w:t>
      </w:r>
    </w:p>
    <w:p w14:paraId="4A4F50BE" w14:textId="77777777" w:rsidR="00B22A1A" w:rsidRDefault="00B22A1A">
      <w:pPr>
        <w:pStyle w:val="HTMLconformatoprevio"/>
      </w:pPr>
      <w:r>
        <w:t xml:space="preserve">  "registro_anomalo": {</w:t>
      </w:r>
    </w:p>
    <w:p w14:paraId="5FD972E5" w14:textId="77777777" w:rsidR="00B22A1A" w:rsidRDefault="00B22A1A">
      <w:pPr>
        <w:pStyle w:val="HTMLconformatoprevio"/>
      </w:pPr>
      <w:r>
        <w:t xml:space="preserve">    "curp": "INVALID_CURP_123",</w:t>
      </w:r>
    </w:p>
    <w:p w14:paraId="3419AE48" w14:textId="77777777" w:rsidR="00B22A1A" w:rsidRDefault="00B22A1A">
      <w:pPr>
        <w:pStyle w:val="HTMLconformatoprevio"/>
      </w:pPr>
      <w:r>
        <w:t xml:space="preserve">    "cct": "21DPR",</w:t>
      </w:r>
    </w:p>
    <w:p w14:paraId="583FD9FE" w14:textId="77777777" w:rsidR="00B22A1A" w:rsidRDefault="00B22A1A">
      <w:pPr>
        <w:pStyle w:val="HTMLconformatoprevio"/>
      </w:pPr>
      <w:r>
        <w:t xml:space="preserve">    "nombre": "JUAN PEREZ"</w:t>
      </w:r>
    </w:p>
    <w:p w14:paraId="249ADD50" w14:textId="77777777" w:rsidR="00B22A1A" w:rsidRDefault="00B22A1A">
      <w:pPr>
        <w:pStyle w:val="HTMLconformatoprevio"/>
      </w:pPr>
      <w:r>
        <w:t xml:space="preserve">  },</w:t>
      </w:r>
    </w:p>
    <w:p w14:paraId="6428F916" w14:textId="77777777" w:rsidR="00B22A1A" w:rsidRDefault="00B22A1A">
      <w:pPr>
        <w:pStyle w:val="HTMLconformatoprevio"/>
      </w:pPr>
      <w:r>
        <w:t xml:space="preserve">  "motivo_rechazo": "LONGITUD_CURP_INVALIDA",</w:t>
      </w:r>
    </w:p>
    <w:p w14:paraId="12E8B595" w14:textId="77777777" w:rsidR="00B22A1A" w:rsidRDefault="00B22A1A">
      <w:pPr>
        <w:pStyle w:val="HTMLconformatoprevio"/>
      </w:pPr>
      <w:r>
        <w:t xml:space="preserve">  "severidad": "WARN"</w:t>
      </w:r>
    </w:p>
    <w:p w14:paraId="048AE0E3" w14:textId="77777777" w:rsidR="00B22A1A" w:rsidRDefault="00B22A1A">
      <w:pPr>
        <w:pStyle w:val="HTMLconformatoprevio"/>
      </w:pPr>
      <w:r>
        <w:t>}</w:t>
      </w:r>
    </w:p>
    <w:p w14:paraId="5EE20A14" w14:textId="77777777" w:rsidR="00B22A1A" w:rsidRDefault="00B22A1A">
      <w:pPr>
        <w:pStyle w:val="Ttulo3"/>
        <w:rPr>
          <w:rFonts w:ascii="Calibri" w:eastAsia="Times New Roman" w:hAnsi="Calibri" w:cs="Calibri"/>
        </w:rPr>
      </w:pPr>
      <w:r>
        <w:rPr>
          <w:rFonts w:ascii="Calibri" w:eastAsia="Times New Roman" w:hAnsi="Calibri" w:cs="Calibri"/>
        </w:rPr>
        <w:t>3.2 Estandarización de Ingesta Oracle (MUSEMS-PU)</w:t>
      </w:r>
    </w:p>
    <w:p w14:paraId="20A98226" w14:textId="77777777" w:rsidR="00B22A1A" w:rsidRDefault="00B22A1A">
      <w:pPr>
        <w:pStyle w:val="NormalWeb"/>
        <w:rPr>
          <w:rFonts w:ascii="Calibri" w:hAnsi="Calibri" w:cs="Calibri"/>
          <w:sz w:val="22"/>
          <w:szCs w:val="22"/>
        </w:rPr>
      </w:pPr>
      <w:r>
        <w:rPr>
          <w:rFonts w:ascii="Calibri" w:hAnsi="Calibri" w:cs="Calibri"/>
          <w:sz w:val="22"/>
          <w:szCs w:val="22"/>
        </w:rPr>
        <w:t xml:space="preserve">En el ecosistema paralelo de </w:t>
      </w:r>
      <w:r>
        <w:rPr>
          <w:rStyle w:val="CdigoHTML"/>
        </w:rPr>
        <w:t>SEP_MUSEMS_PU</w:t>
      </w:r>
      <w:r>
        <w:rPr>
          <w:rFonts w:ascii="Calibri" w:hAnsi="Calibri" w:cs="Calibri"/>
          <w:sz w:val="22"/>
          <w:szCs w:val="22"/>
        </w:rPr>
        <w:t>, la política de *Data Profiling* se extendió a la capa de *Staging* (</w:t>
      </w:r>
      <w:r>
        <w:rPr>
          <w:rStyle w:val="CdigoHTML"/>
        </w:rPr>
        <w:t>Client_Data_Base_Oracle_DDL.sql</w:t>
      </w:r>
      <w:r>
        <w:rPr>
          <w:rFonts w:ascii="Calibri" w:hAnsi="Calibri" w:cs="Calibri"/>
          <w:sz w:val="22"/>
          <w:szCs w:val="22"/>
        </w:rPr>
        <w:t>). Se establecieron validaciones rígidas pre-carga:</w:t>
      </w:r>
    </w:p>
    <w:p w14:paraId="21F2C053" w14:textId="77777777" w:rsidR="00B22A1A" w:rsidRDefault="00B22A1A" w:rsidP="00B22A1A">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Restricción de Identificadores:</w:t>
      </w:r>
      <w:r>
        <w:rPr>
          <w:rFonts w:ascii="Calibri" w:eastAsia="Times New Roman" w:hAnsi="Calibri" w:cs="Calibri"/>
        </w:rPr>
        <w:t xml:space="preserve"> Se prohibió el uso del ID </w:t>
      </w:r>
      <w:r>
        <w:rPr>
          <w:rStyle w:val="CdigoHTML"/>
        </w:rPr>
        <w:t>1</w:t>
      </w:r>
      <w:r>
        <w:rPr>
          <w:rFonts w:ascii="Calibri" w:eastAsia="Times New Roman" w:hAnsi="Calibri" w:cs="Calibri"/>
        </w:rPr>
        <w:t xml:space="preserve"> para el Programa Institución, forzando el uso del rango estándar aprobado (</w:t>
      </w:r>
      <w:r>
        <w:rPr>
          <w:rStyle w:val="CdigoHTML"/>
        </w:rPr>
        <w:t>100</w:t>
      </w:r>
      <w:r>
        <w:rPr>
          <w:rFonts w:ascii="Calibri" w:eastAsia="Times New Roman" w:hAnsi="Calibri" w:cs="Calibri"/>
        </w:rPr>
        <w:t xml:space="preserve">, </w:t>
      </w:r>
      <w:r>
        <w:rPr>
          <w:rStyle w:val="CdigoHTML"/>
        </w:rPr>
        <w:t>101</w:t>
      </w:r>
      <w:r>
        <w:rPr>
          <w:rFonts w:ascii="Calibri" w:eastAsia="Times New Roman" w:hAnsi="Calibri" w:cs="Calibri"/>
        </w:rPr>
        <w:t xml:space="preserve">, </w:t>
      </w:r>
      <w:r>
        <w:rPr>
          <w:rStyle w:val="CdigoHTML"/>
        </w:rPr>
        <w:t>102</w:t>
      </w:r>
      <w:r>
        <w:rPr>
          <w:rFonts w:ascii="Calibri" w:eastAsia="Times New Roman" w:hAnsi="Calibri" w:cs="Calibri"/>
        </w:rPr>
        <w:t>).</w:t>
      </w:r>
    </w:p>
    <w:p w14:paraId="78C905CB" w14:textId="77777777" w:rsidR="00B22A1A" w:rsidRDefault="00B22A1A" w:rsidP="00B22A1A">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Subsistemas y Ciclos:</w:t>
      </w:r>
      <w:r>
        <w:rPr>
          <w:rFonts w:ascii="Calibri" w:eastAsia="Times New Roman" w:hAnsi="Calibri" w:cs="Calibri"/>
        </w:rPr>
        <w:t xml:space="preserve"> Se impuso la codificación estandarizada para subsistemas (</w:t>
      </w:r>
      <w:r>
        <w:rPr>
          <w:rStyle w:val="CdigoHTML"/>
        </w:rPr>
        <w:t>1</w:t>
      </w:r>
      <w:r>
        <w:rPr>
          <w:rFonts w:ascii="Calibri" w:eastAsia="Times New Roman" w:hAnsi="Calibri" w:cs="Calibri"/>
        </w:rPr>
        <w:t xml:space="preserve"> CONALEP, </w:t>
      </w:r>
      <w:r>
        <w:rPr>
          <w:rStyle w:val="CdigoHTML"/>
        </w:rPr>
        <w:t>2</w:t>
      </w:r>
      <w:r>
        <w:rPr>
          <w:rFonts w:ascii="Calibri" w:eastAsia="Times New Roman" w:hAnsi="Calibri" w:cs="Calibri"/>
        </w:rPr>
        <w:t xml:space="preserve"> COBACH, </w:t>
      </w:r>
      <w:r>
        <w:rPr>
          <w:rStyle w:val="CdigoHTML"/>
        </w:rPr>
        <w:t>3</w:t>
      </w:r>
      <w:r>
        <w:rPr>
          <w:rFonts w:ascii="Calibri" w:eastAsia="Times New Roman" w:hAnsi="Calibri" w:cs="Calibri"/>
        </w:rPr>
        <w:t xml:space="preserve"> DGETI) y se fijó el ID </w:t>
      </w:r>
      <w:r>
        <w:rPr>
          <w:rStyle w:val="CdigoHTML"/>
        </w:rPr>
        <w:t>2</w:t>
      </w:r>
      <w:r>
        <w:rPr>
          <w:rFonts w:ascii="Calibri" w:eastAsia="Times New Roman" w:hAnsi="Calibri" w:cs="Calibri"/>
        </w:rPr>
        <w:t xml:space="preserve"> para el ciclo escolar </w:t>
      </w:r>
      <w:r>
        <w:rPr>
          <w:rStyle w:val="CdigoHTML"/>
        </w:rPr>
        <w:t>2024-2025</w:t>
      </w:r>
      <w:r>
        <w:rPr>
          <w:rFonts w:ascii="Calibri" w:eastAsia="Times New Roman" w:hAnsi="Calibri" w:cs="Calibri"/>
        </w:rPr>
        <w:t>.</w:t>
      </w:r>
    </w:p>
    <w:p w14:paraId="52F02E30" w14:textId="77777777" w:rsidR="00B22A1A" w:rsidRDefault="00B22A1A" w:rsidP="00B22A1A">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Auditoría de Inserción:</w:t>
      </w:r>
      <w:r>
        <w:rPr>
          <w:rFonts w:ascii="Calibri" w:eastAsia="Times New Roman" w:hAnsi="Calibri" w:cs="Calibri"/>
        </w:rPr>
        <w:t xml:space="preserve"> Se configuró una validación estricta para asegurar que la tabla transaccional receptora (</w:t>
      </w:r>
      <w:r>
        <w:rPr>
          <w:rStyle w:val="CdigoHTML"/>
        </w:rPr>
        <w:t>TBAE001_INSCRIPCION</w:t>
      </w:r>
      <w:r>
        <w:rPr>
          <w:rFonts w:ascii="Calibri" w:eastAsia="Times New Roman" w:hAnsi="Calibri" w:cs="Calibri"/>
        </w:rPr>
        <w:t>) solo admita registros si cumplen exactamente con las 5 columnas básicas validadas, mitigando radicalmente el ingreso de datos basura al núcleo analítico.</w:t>
      </w:r>
    </w:p>
    <w:p w14:paraId="6328C193" w14:textId="77777777" w:rsidR="00B22A1A" w:rsidRDefault="00B22A1A">
      <w:pPr>
        <w:pStyle w:val="NormalWeb"/>
        <w:rPr>
          <w:rFonts w:ascii="Calibri" w:hAnsi="Calibri" w:cs="Calibri"/>
          <w:sz w:val="22"/>
          <w:szCs w:val="22"/>
        </w:rPr>
      </w:pPr>
      <w:r>
        <w:rPr>
          <w:rStyle w:val="Fuerte"/>
          <w:rFonts w:ascii="Calibri" w:hAnsi="Calibri" w:cs="Calibri"/>
          <w:sz w:val="22"/>
          <w:szCs w:val="22"/>
        </w:rPr>
        <w:t>Matriz de Estándares Oracle (Pre-Ingesta):</w:t>
      </w:r>
    </w:p>
    <w:tbl>
      <w:tblPr>
        <w:tblW w:w="5000" w:type="pct"/>
        <w:tblCellMar>
          <w:top w:w="15" w:type="dxa"/>
          <w:left w:w="15" w:type="dxa"/>
          <w:bottom w:w="15" w:type="dxa"/>
          <w:right w:w="15" w:type="dxa"/>
        </w:tblCellMar>
        <w:tblLook w:val="04A0" w:firstRow="1" w:lastRow="0" w:firstColumn="1" w:lastColumn="0" w:noHBand="0" w:noVBand="1"/>
      </w:tblPr>
      <w:tblGrid>
        <w:gridCol w:w="1741"/>
        <w:gridCol w:w="2706"/>
        <w:gridCol w:w="2521"/>
        <w:gridCol w:w="2376"/>
      </w:tblGrid>
      <w:tr w:rsidR="00B22A1A" w14:paraId="1EE2135D"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9711F3" w14:textId="77777777" w:rsidR="00B22A1A" w:rsidRDefault="00B22A1A">
            <w:pPr>
              <w:spacing w:before="180" w:after="180"/>
              <w:rPr>
                <w:rFonts w:ascii="Calibri" w:eastAsia="Times New Roman" w:hAnsi="Calibri" w:cs="Calibri"/>
                <w:b/>
                <w:bCs/>
              </w:rPr>
            </w:pPr>
            <w:r>
              <w:rPr>
                <w:rFonts w:ascii="Calibri" w:eastAsia="Times New Roman" w:hAnsi="Calibri" w:cs="Calibri"/>
                <w:b/>
                <w:bCs/>
              </w:rPr>
              <w:t>Campo Objetivo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98602F" w14:textId="77777777" w:rsidR="00B22A1A" w:rsidRDefault="00B22A1A">
            <w:pPr>
              <w:spacing w:before="180" w:after="180"/>
              <w:rPr>
                <w:rFonts w:ascii="Calibri" w:eastAsia="Times New Roman" w:hAnsi="Calibri" w:cs="Calibri"/>
                <w:b/>
                <w:bCs/>
              </w:rPr>
            </w:pPr>
            <w:r>
              <w:rPr>
                <w:rFonts w:ascii="Calibri" w:eastAsia="Times New Roman" w:hAnsi="Calibri" w:cs="Calibri"/>
                <w:b/>
                <w:bCs/>
              </w:rPr>
              <w:t>Restricción / Rango Permitido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AEBACC" w14:textId="77777777" w:rsidR="00B22A1A" w:rsidRDefault="00B22A1A">
            <w:pPr>
              <w:spacing w:before="180" w:after="180"/>
              <w:rPr>
                <w:rFonts w:ascii="Calibri" w:eastAsia="Times New Roman" w:hAnsi="Calibri" w:cs="Calibri"/>
                <w:b/>
                <w:bCs/>
              </w:rPr>
            </w:pPr>
            <w:r>
              <w:rPr>
                <w:rFonts w:ascii="Calibri" w:eastAsia="Times New Roman" w:hAnsi="Calibri" w:cs="Calibri"/>
                <w:b/>
                <w:bCs/>
              </w:rPr>
              <w:t>Razón de Negocio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410824" w14:textId="77777777" w:rsidR="00B22A1A" w:rsidRDefault="00B22A1A">
            <w:pPr>
              <w:spacing w:before="180" w:after="180"/>
              <w:rPr>
                <w:rFonts w:ascii="Calibri" w:eastAsia="Times New Roman" w:hAnsi="Calibri" w:cs="Calibri"/>
                <w:b/>
                <w:bCs/>
              </w:rPr>
            </w:pPr>
            <w:r>
              <w:rPr>
                <w:rFonts w:ascii="Calibri" w:eastAsia="Times New Roman" w:hAnsi="Calibri" w:cs="Calibri"/>
                <w:b/>
                <w:bCs/>
              </w:rPr>
              <w:t>Acción ante Incumplimiento</w:t>
            </w:r>
          </w:p>
        </w:tc>
      </w:tr>
      <w:tr w:rsidR="00B22A1A" w14:paraId="57C659F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0D98CC" w14:textId="77777777" w:rsidR="00B22A1A" w:rsidRDefault="00B22A1A">
            <w:pPr>
              <w:spacing w:before="180" w:after="180"/>
              <w:rPr>
                <w:rFonts w:ascii="Calibri" w:eastAsia="Times New Roman" w:hAnsi="Calibri" w:cs="Calibri"/>
              </w:rPr>
            </w:pPr>
            <w:r>
              <w:rPr>
                <w:rStyle w:val="CdigoHTML"/>
              </w:rPr>
              <w:t>ID_PROGRAMA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ABA4EC" w14:textId="77777777" w:rsidR="00B22A1A" w:rsidRDefault="00B22A1A">
            <w:pPr>
              <w:spacing w:before="180" w:after="180"/>
              <w:rPr>
                <w:rFonts w:ascii="Calibri" w:eastAsia="Times New Roman" w:hAnsi="Calibri" w:cs="Calibri"/>
              </w:rPr>
            </w:pPr>
            <w:r>
              <w:rPr>
                <w:rStyle w:val="CdigoHTML"/>
              </w:rPr>
              <w:t>100</w:t>
            </w:r>
            <w:r>
              <w:rPr>
                <w:rFonts w:ascii="Calibri" w:eastAsia="Times New Roman" w:hAnsi="Calibri" w:cs="Calibri"/>
              </w:rPr>
              <w:t xml:space="preserve">, </w:t>
            </w:r>
            <w:r>
              <w:rPr>
                <w:rStyle w:val="CdigoHTML"/>
              </w:rPr>
              <w:t>101</w:t>
            </w:r>
            <w:r>
              <w:rPr>
                <w:rFonts w:ascii="Calibri" w:eastAsia="Times New Roman" w:hAnsi="Calibri" w:cs="Calibri"/>
              </w:rPr>
              <w:t xml:space="preserve">, </w:t>
            </w:r>
            <w:r>
              <w:rPr>
                <w:rStyle w:val="CdigoHTML"/>
              </w:rPr>
              <w:t>102</w:t>
            </w:r>
            <w:r>
              <w:rPr>
                <w:rFonts w:ascii="Calibri" w:eastAsia="Times New Roman" w:hAnsi="Calibri" w:cs="Calibri"/>
              </w:rPr>
              <w:t xml:space="preserve"> (Excluye </w:t>
            </w:r>
            <w:r>
              <w:rPr>
                <w:rStyle w:val="CdigoHTML"/>
              </w:rPr>
              <w:t>1</w:t>
            </w:r>
            <w:r>
              <w:rPr>
                <w:rFonts w:ascii="Calibri" w:eastAsia="Times New Roman" w:hAnsi="Calibri" w:cs="Calibri"/>
              </w:rPr>
              <w: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E2D144" w14:textId="77777777" w:rsidR="00B22A1A" w:rsidRDefault="00B22A1A">
            <w:pPr>
              <w:spacing w:before="180" w:after="180"/>
              <w:rPr>
                <w:rFonts w:ascii="Calibri" w:eastAsia="Times New Roman" w:hAnsi="Calibri" w:cs="Calibri"/>
              </w:rPr>
            </w:pPr>
            <w:r>
              <w:rPr>
                <w:rFonts w:ascii="Calibri" w:eastAsia="Times New Roman" w:hAnsi="Calibri" w:cs="Calibri"/>
              </w:rPr>
              <w:t>Evita mapeo genérico por default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830E3E" w14:textId="77777777" w:rsidR="00B22A1A" w:rsidRDefault="00B22A1A">
            <w:pPr>
              <w:spacing w:before="180" w:after="180"/>
              <w:rPr>
                <w:rFonts w:ascii="Calibri" w:eastAsia="Times New Roman" w:hAnsi="Calibri" w:cs="Calibri"/>
              </w:rPr>
            </w:pPr>
            <w:r>
              <w:rPr>
                <w:rFonts w:ascii="Calibri" w:eastAsia="Times New Roman" w:hAnsi="Calibri" w:cs="Calibri"/>
              </w:rPr>
              <w:t>Rechazo de Lote Completo</w:t>
            </w:r>
          </w:p>
        </w:tc>
      </w:tr>
      <w:tr w:rsidR="00B22A1A" w14:paraId="5A256AF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76DCF4" w14:textId="77777777" w:rsidR="00B22A1A" w:rsidRDefault="00B22A1A">
            <w:pPr>
              <w:spacing w:before="180" w:after="180"/>
              <w:rPr>
                <w:rFonts w:ascii="Calibri" w:eastAsia="Times New Roman" w:hAnsi="Calibri" w:cs="Calibri"/>
              </w:rPr>
            </w:pPr>
            <w:r>
              <w:rPr>
                <w:rStyle w:val="CdigoHTML"/>
              </w:rPr>
              <w:t>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0776A0" w14:textId="77777777" w:rsidR="00B22A1A" w:rsidRDefault="00B22A1A">
            <w:pPr>
              <w:spacing w:before="180" w:after="180"/>
              <w:rPr>
                <w:rFonts w:ascii="Calibri" w:eastAsia="Times New Roman" w:hAnsi="Calibri" w:cs="Calibri"/>
              </w:rPr>
            </w:pPr>
            <w:r>
              <w:rPr>
                <w:rStyle w:val="CdigoHTML"/>
              </w:rPr>
              <w:t>1</w:t>
            </w:r>
            <w:r>
              <w:rPr>
                <w:rFonts w:ascii="Calibri" w:eastAsia="Times New Roman" w:hAnsi="Calibri" w:cs="Calibri"/>
              </w:rPr>
              <w:t xml:space="preserve"> (CONALEP), </w:t>
            </w:r>
            <w:r>
              <w:rPr>
                <w:rStyle w:val="CdigoHTML"/>
              </w:rPr>
              <w:t>2</w:t>
            </w:r>
            <w:r>
              <w:rPr>
                <w:rFonts w:ascii="Calibri" w:eastAsia="Times New Roman" w:hAnsi="Calibri" w:cs="Calibri"/>
              </w:rPr>
              <w:t xml:space="preserve"> (COBACH), </w:t>
            </w:r>
            <w:r>
              <w:rPr>
                <w:rStyle w:val="CdigoHTML"/>
              </w:rPr>
              <w:t>3</w:t>
            </w:r>
            <w:r>
              <w:rPr>
                <w:rFonts w:ascii="Calibri" w:eastAsia="Times New Roman" w:hAnsi="Calibri" w:cs="Calibri"/>
              </w:rPr>
              <w:t xml:space="preserve"> (DGETI)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5EA6E0" w14:textId="77777777" w:rsidR="00B22A1A" w:rsidRDefault="00B22A1A">
            <w:pPr>
              <w:spacing w:before="180" w:after="180"/>
              <w:rPr>
                <w:rFonts w:ascii="Calibri" w:eastAsia="Times New Roman" w:hAnsi="Calibri" w:cs="Calibri"/>
              </w:rPr>
            </w:pPr>
            <w:r>
              <w:rPr>
                <w:rFonts w:ascii="Calibri" w:eastAsia="Times New Roman" w:hAnsi="Calibri" w:cs="Calibri"/>
              </w:rPr>
              <w:t>Alineación de Catálogos Federales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34B58B" w14:textId="77777777" w:rsidR="00B22A1A" w:rsidRDefault="00B22A1A">
            <w:pPr>
              <w:spacing w:before="180" w:after="180"/>
              <w:rPr>
                <w:rFonts w:ascii="Calibri" w:eastAsia="Times New Roman" w:hAnsi="Calibri" w:cs="Calibri"/>
              </w:rPr>
            </w:pPr>
            <w:r>
              <w:rPr>
                <w:rFonts w:ascii="Calibri" w:eastAsia="Times New Roman" w:hAnsi="Calibri" w:cs="Calibri"/>
              </w:rPr>
              <w:t xml:space="preserve">Substitución a </w:t>
            </w:r>
            <w:r>
              <w:rPr>
                <w:rStyle w:val="CdigoHTML"/>
              </w:rPr>
              <w:t>NULL</w:t>
            </w:r>
            <w:r>
              <w:rPr>
                <w:rFonts w:ascii="Calibri" w:eastAsia="Times New Roman" w:hAnsi="Calibri" w:cs="Calibri"/>
              </w:rPr>
              <w:t xml:space="preserve"> y Alerta</w:t>
            </w:r>
          </w:p>
        </w:tc>
      </w:tr>
      <w:tr w:rsidR="00B22A1A" w14:paraId="6B10070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864F6A" w14:textId="77777777" w:rsidR="00B22A1A" w:rsidRDefault="00B22A1A">
            <w:pPr>
              <w:spacing w:before="180" w:after="180"/>
              <w:rPr>
                <w:rFonts w:ascii="Calibri" w:eastAsia="Times New Roman" w:hAnsi="Calibri" w:cs="Calibri"/>
              </w:rPr>
            </w:pPr>
            <w:r>
              <w:rPr>
                <w:rStyle w:val="CdigoHTML"/>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A177BE" w14:textId="77777777" w:rsidR="00B22A1A" w:rsidRDefault="00B22A1A">
            <w:pPr>
              <w:spacing w:before="180" w:after="180"/>
              <w:rPr>
                <w:rFonts w:ascii="Calibri" w:eastAsia="Times New Roman" w:hAnsi="Calibri" w:cs="Calibri"/>
              </w:rPr>
            </w:pPr>
            <w:r>
              <w:rPr>
                <w:rFonts w:ascii="Calibri" w:eastAsia="Times New Roman" w:hAnsi="Calibri" w:cs="Calibri"/>
              </w:rPr>
              <w:t xml:space="preserve">ID Fijo </w:t>
            </w:r>
            <w:r>
              <w:rPr>
                <w:rStyle w:val="CdigoHTML"/>
              </w:rPr>
              <w:t>2</w:t>
            </w:r>
            <w:r>
              <w:rPr>
                <w:rFonts w:ascii="Calibri" w:eastAsia="Times New Roman" w:hAnsi="Calibri" w:cs="Calibri"/>
              </w:rPr>
              <w:t xml:space="preserve"> (2024-2025)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7B6C84" w14:textId="77777777" w:rsidR="00B22A1A" w:rsidRDefault="00B22A1A">
            <w:pPr>
              <w:spacing w:before="180" w:after="180"/>
              <w:rPr>
                <w:rFonts w:ascii="Calibri" w:eastAsia="Times New Roman" w:hAnsi="Calibri" w:cs="Calibri"/>
              </w:rPr>
            </w:pPr>
            <w:r>
              <w:rPr>
                <w:rFonts w:ascii="Calibri" w:eastAsia="Times New Roman" w:hAnsi="Calibri" w:cs="Calibri"/>
              </w:rPr>
              <w:t>Ingesta cerrada a ciclo 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FF0281" w14:textId="77777777" w:rsidR="00B22A1A" w:rsidRDefault="00B22A1A">
            <w:pPr>
              <w:spacing w:before="180" w:after="180"/>
              <w:rPr>
                <w:rFonts w:ascii="Calibri" w:eastAsia="Times New Roman" w:hAnsi="Calibri" w:cs="Calibri"/>
              </w:rPr>
            </w:pPr>
            <w:r>
              <w:rPr>
                <w:rFonts w:ascii="Calibri" w:eastAsia="Times New Roman" w:hAnsi="Calibri" w:cs="Calibri"/>
              </w:rPr>
              <w:t>Rechazo del Registro</w:t>
            </w:r>
          </w:p>
        </w:tc>
      </w:tr>
    </w:tbl>
    <w:p w14:paraId="60EB3EAF" w14:textId="77777777" w:rsidR="00B22A1A" w:rsidRDefault="00B22A1A">
      <w:pPr>
        <w:pStyle w:val="Ttulo2"/>
        <w:rPr>
          <w:rFonts w:ascii="Calibri" w:eastAsia="Times New Roman" w:hAnsi="Calibri" w:cs="Calibri"/>
        </w:rPr>
      </w:pPr>
      <w:r>
        <w:rPr>
          <w:rFonts w:ascii="Calibri" w:eastAsia="Times New Roman" w:hAnsi="Calibri" w:cs="Calibri"/>
        </w:rPr>
        <w:t>4. Flujo ETL/ELT Operado en Mayo</w:t>
      </w:r>
    </w:p>
    <w:p w14:paraId="3BD0ABFF" w14:textId="77777777" w:rsidR="00B22A1A" w:rsidRDefault="00B22A1A">
      <w:pPr>
        <w:pStyle w:val="NormalWeb"/>
        <w:rPr>
          <w:rFonts w:ascii="Calibri" w:hAnsi="Calibri" w:cs="Calibri"/>
          <w:sz w:val="22"/>
          <w:szCs w:val="22"/>
        </w:rPr>
      </w:pPr>
      <w:r>
        <w:rPr>
          <w:rFonts w:ascii="Calibri" w:hAnsi="Calibri" w:cs="Calibri"/>
          <w:sz w:val="22"/>
          <w:szCs w:val="22"/>
        </w:rPr>
        <w:t>El flujo de procesamiento verificado en mayo confirmó su robustez y agilidad, dividiéndose de la siguiente manera:</w:t>
      </w:r>
    </w:p>
    <w:p w14:paraId="4F63291B" w14:textId="77777777" w:rsidR="00B22A1A" w:rsidRDefault="00B22A1A">
      <w:pPr>
        <w:pStyle w:val="NormalWeb"/>
        <w:rPr>
          <w:rFonts w:ascii="Calibri" w:hAnsi="Calibri" w:cs="Calibri"/>
          <w:sz w:val="22"/>
          <w:szCs w:val="22"/>
        </w:rPr>
      </w:pPr>
      <w:r>
        <w:rPr>
          <w:rStyle w:val="Fuerte"/>
          <w:rFonts w:ascii="Calibri" w:hAnsi="Calibri" w:cs="Calibri"/>
          <w:sz w:val="22"/>
          <w:szCs w:val="22"/>
        </w:rPr>
        <w:t>Diagrama de Secuencia ETL Asíncrono:</w:t>
      </w:r>
    </w:p>
    <w:p w14:paraId="2A2CD7FD" w14:textId="77777777" w:rsidR="00B22A1A" w:rsidRDefault="00B22A1A">
      <w:pPr>
        <w:pStyle w:val="HTMLconformatoprevio"/>
      </w:pPr>
    </w:p>
    <w:p w14:paraId="1566BCF6" w14:textId="77777777" w:rsidR="00B22A1A" w:rsidRDefault="00B22A1A">
      <w:pPr>
        <w:pStyle w:val="HTMLconformatoprevio"/>
      </w:pPr>
      <w:r>
        <w:t>sequenceDiagram</w:t>
      </w:r>
    </w:p>
    <w:p w14:paraId="216BD7C0" w14:textId="77777777" w:rsidR="00B22A1A" w:rsidRDefault="00B22A1A">
      <w:pPr>
        <w:pStyle w:val="HTMLconformatoprevio"/>
      </w:pPr>
      <w:r>
        <w:t xml:space="preserve">    participant Fuente as CSV / Oracle DB</w:t>
      </w:r>
    </w:p>
    <w:p w14:paraId="4140A4EF" w14:textId="77777777" w:rsidR="00B22A1A" w:rsidRDefault="00B22A1A">
      <w:pPr>
        <w:pStyle w:val="HTMLconformatoprevio"/>
      </w:pPr>
      <w:r>
        <w:t xml:space="preserve">    participant ETL as Motor Python (Pandas/pg8000)</w:t>
      </w:r>
    </w:p>
    <w:p w14:paraId="680449E6" w14:textId="77777777" w:rsidR="00B22A1A" w:rsidRDefault="00B22A1A">
      <w:pPr>
        <w:pStyle w:val="HTMLconformatoprevio"/>
      </w:pPr>
      <w:r>
        <w:t xml:space="preserve">    participant Cripto as Modulo AES/Hash</w:t>
      </w:r>
    </w:p>
    <w:p w14:paraId="0793FE09" w14:textId="77777777" w:rsidR="00B22A1A" w:rsidRDefault="00B22A1A">
      <w:pPr>
        <w:pStyle w:val="HTMLconformatoprevio"/>
      </w:pPr>
      <w:r>
        <w:t xml:space="preserve">    participant Destino as PostgreSQL (Fase 2)</w:t>
      </w:r>
    </w:p>
    <w:p w14:paraId="53854DF3" w14:textId="77777777" w:rsidR="00B22A1A" w:rsidRDefault="00B22A1A">
      <w:pPr>
        <w:pStyle w:val="HTMLconformatoprevio"/>
      </w:pPr>
      <w:r>
        <w:t xml:space="preserve">    </w:t>
      </w:r>
    </w:p>
    <w:p w14:paraId="3C0C4356" w14:textId="77777777" w:rsidR="00B22A1A" w:rsidRDefault="00B22A1A">
      <w:pPr>
        <w:pStyle w:val="HTMLconformatoprevio"/>
      </w:pPr>
      <w:r>
        <w:t xml:space="preserve">    Fuente-&gt;&gt;ETL: Lectura Lote (Chunk de 5000)</w:t>
      </w:r>
    </w:p>
    <w:p w14:paraId="3D800ED6" w14:textId="77777777" w:rsidR="00B22A1A" w:rsidRDefault="00B22A1A">
      <w:pPr>
        <w:pStyle w:val="HTMLconformatoprevio"/>
      </w:pPr>
      <w:r>
        <w:t xml:space="preserve">    ETL-&gt;&gt;ETL: Validacion Regex y Limpieza (Memoria)</w:t>
      </w:r>
    </w:p>
    <w:p w14:paraId="74C6045A" w14:textId="77777777" w:rsidR="00B22A1A" w:rsidRDefault="00B22A1A">
      <w:pPr>
        <w:pStyle w:val="HTMLconformatoprevio"/>
      </w:pPr>
      <w:r>
        <w:t xml:space="preserve">    ETL-&gt;&gt;Cripto: Solicitar Hash de PII</w:t>
      </w:r>
    </w:p>
    <w:p w14:paraId="6BA1DE03" w14:textId="77777777" w:rsidR="00B22A1A" w:rsidRDefault="00B22A1A">
      <w:pPr>
        <w:pStyle w:val="HTMLconformatoprevio"/>
      </w:pPr>
      <w:r>
        <w:t xml:space="preserve">    Cripto--&gt;&gt;ETL: Devolución de MD5 / AES Tokens</w:t>
      </w:r>
    </w:p>
    <w:p w14:paraId="3BCF19E4" w14:textId="77777777" w:rsidR="00B22A1A" w:rsidRDefault="00B22A1A">
      <w:pPr>
        <w:pStyle w:val="HTMLconformatoprevio"/>
      </w:pPr>
      <w:r>
        <w:t xml:space="preserve">    ETL-&gt;&gt;Destino: BEGIN TRANSACTION</w:t>
      </w:r>
    </w:p>
    <w:p w14:paraId="132122F6" w14:textId="77777777" w:rsidR="00B22A1A" w:rsidRDefault="00B22A1A">
      <w:pPr>
        <w:pStyle w:val="HTMLconformatoprevio"/>
      </w:pPr>
      <w:r>
        <w:t xml:space="preserve">    loop Cada 1000 registros</w:t>
      </w:r>
    </w:p>
    <w:p w14:paraId="7946F6C1" w14:textId="77777777" w:rsidR="00B22A1A" w:rsidRDefault="00B22A1A">
      <w:pPr>
        <w:pStyle w:val="HTMLconformatoprevio"/>
      </w:pPr>
      <w:r>
        <w:t xml:space="preserve">        ETL-&gt;&gt;Destino: Ejecutar Inserciones Batch</w:t>
      </w:r>
    </w:p>
    <w:p w14:paraId="32753D94" w14:textId="77777777" w:rsidR="00B22A1A" w:rsidRDefault="00B22A1A">
      <w:pPr>
        <w:pStyle w:val="HTMLconformatoprevio"/>
      </w:pPr>
      <w:r>
        <w:t xml:space="preserve">        Destino--&gt;&gt;ETL: Acknowledge (Memoria Libre)</w:t>
      </w:r>
    </w:p>
    <w:p w14:paraId="56C82D28" w14:textId="77777777" w:rsidR="00B22A1A" w:rsidRDefault="00B22A1A">
      <w:pPr>
        <w:pStyle w:val="HTMLconformatoprevio"/>
      </w:pPr>
      <w:r>
        <w:t xml:space="preserve">    end</w:t>
      </w:r>
    </w:p>
    <w:p w14:paraId="587941EE" w14:textId="77777777" w:rsidR="00B22A1A" w:rsidRDefault="00B22A1A">
      <w:pPr>
        <w:pStyle w:val="HTMLconformatoprevio"/>
      </w:pPr>
      <w:r>
        <w:t xml:space="preserve">    ETL-&gt;&gt;Destino: COMMIT TRANSACTION</w:t>
      </w:r>
    </w:p>
    <w:p w14:paraId="3EE31E9A" w14:textId="77777777" w:rsidR="00B22A1A" w:rsidRDefault="00B22A1A">
      <w:pPr>
        <w:pStyle w:val="Ttulo3"/>
        <w:rPr>
          <w:rFonts w:ascii="Calibri" w:eastAsia="Times New Roman" w:hAnsi="Calibri" w:cs="Calibri"/>
        </w:rPr>
      </w:pPr>
      <w:r>
        <w:rPr>
          <w:rFonts w:ascii="Calibri" w:eastAsia="Times New Roman" w:hAnsi="Calibri" w:cs="Calibri"/>
        </w:rPr>
        <w:t>4.1 Fase de Extracción (*Extract*)</w:t>
      </w:r>
    </w:p>
    <w:p w14:paraId="2A19DD4D" w14:textId="77777777" w:rsidR="00B22A1A" w:rsidRDefault="00B22A1A">
      <w:pPr>
        <w:pStyle w:val="NormalWeb"/>
        <w:rPr>
          <w:rFonts w:ascii="Calibri" w:hAnsi="Calibri" w:cs="Calibri"/>
          <w:sz w:val="22"/>
          <w:szCs w:val="22"/>
        </w:rPr>
      </w:pPr>
      <w:r>
        <w:rPr>
          <w:rFonts w:ascii="Calibri" w:hAnsi="Calibri" w:cs="Calibri"/>
          <w:sz w:val="22"/>
          <w:szCs w:val="22"/>
        </w:rPr>
        <w:t>La recuperación transaccional masiva hacia PostgreSQL contempló tanto los archivos externos como los puentes hacia el catálogo de Oracle, donde se validó:</w:t>
      </w:r>
    </w:p>
    <w:p w14:paraId="3D4BA744" w14:textId="77777777" w:rsidR="00B22A1A" w:rsidRDefault="00B22A1A" w:rsidP="00B22A1A">
      <w:pPr>
        <w:numPr>
          <w:ilvl w:val="0"/>
          <w:numId w:val="16"/>
        </w:numPr>
        <w:spacing w:before="100" w:beforeAutospacing="1" w:after="100" w:afterAutospacing="1" w:line="240" w:lineRule="auto"/>
        <w:rPr>
          <w:rFonts w:ascii="Calibri" w:eastAsia="Times New Roman" w:hAnsi="Calibri" w:cs="Calibri"/>
        </w:rPr>
      </w:pPr>
      <w:r>
        <w:rPr>
          <w:rFonts w:ascii="Calibri" w:eastAsia="Times New Roman" w:hAnsi="Calibri" w:cs="Calibri"/>
        </w:rPr>
        <w:t>Detección proactiva de registros vacíos y valores nulos indeseados.</w:t>
      </w:r>
    </w:p>
    <w:p w14:paraId="1A5CC2CF" w14:textId="77777777" w:rsidR="00B22A1A" w:rsidRDefault="00B22A1A" w:rsidP="00B22A1A">
      <w:pPr>
        <w:numPr>
          <w:ilvl w:val="0"/>
          <w:numId w:val="16"/>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Filtros estrictos de extracciones parciales limitadas por prefijo de la Entidad Federativa y la parametrización de ciclo escolar (e.g. </w:t>
      </w:r>
      <w:r>
        <w:rPr>
          <w:rStyle w:val="CdigoHTML"/>
        </w:rPr>
        <w:t>2024-2025</w:t>
      </w:r>
      <w:r>
        <w:rPr>
          <w:rFonts w:ascii="Calibri" w:eastAsia="Times New Roman" w:hAnsi="Calibri" w:cs="Calibri"/>
        </w:rPr>
        <w:t>).</w:t>
      </w:r>
    </w:p>
    <w:p w14:paraId="73AA3046" w14:textId="77777777" w:rsidR="00B22A1A" w:rsidRDefault="00B22A1A">
      <w:pPr>
        <w:pStyle w:val="Ttulo3"/>
        <w:rPr>
          <w:rFonts w:ascii="Calibri" w:eastAsia="Times New Roman" w:hAnsi="Calibri" w:cs="Calibri"/>
        </w:rPr>
      </w:pPr>
      <w:r>
        <w:rPr>
          <w:rFonts w:ascii="Calibri" w:eastAsia="Times New Roman" w:hAnsi="Calibri" w:cs="Calibri"/>
        </w:rPr>
        <w:t>4.2 Fase de Transformación (*Transform*) y Codificación Dinámica</w:t>
      </w:r>
    </w:p>
    <w:p w14:paraId="630AECA8" w14:textId="77777777" w:rsidR="00B22A1A" w:rsidRDefault="00B22A1A">
      <w:pPr>
        <w:pStyle w:val="NormalWeb"/>
        <w:rPr>
          <w:rFonts w:ascii="Calibri" w:hAnsi="Calibri" w:cs="Calibri"/>
          <w:sz w:val="22"/>
          <w:szCs w:val="22"/>
        </w:rPr>
      </w:pPr>
      <w:r>
        <w:rPr>
          <w:rFonts w:ascii="Calibri" w:hAnsi="Calibri" w:cs="Calibri"/>
          <w:sz w:val="22"/>
          <w:szCs w:val="22"/>
        </w:rPr>
        <w:t>La etapa de transformación ejecutó limpieza en memoria y codificación de seguridad al vuelo:</w:t>
      </w:r>
    </w:p>
    <w:p w14:paraId="3525D35B" w14:textId="77777777" w:rsidR="00B22A1A" w:rsidRDefault="00B22A1A" w:rsidP="00B22A1A">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Normalización automática de *strings* mal formados y depuración de acentos en nombres de alumnos.</w:t>
      </w:r>
    </w:p>
    <w:p w14:paraId="072A1A3C" w14:textId="77777777" w:rsidR="00B22A1A" w:rsidRDefault="00B22A1A" w:rsidP="00B22A1A">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Transformación y formateo estricto de fechas y campos telefónicos.</w:t>
      </w:r>
    </w:p>
    <w:p w14:paraId="753D30E8" w14:textId="77777777" w:rsidR="00B22A1A" w:rsidRDefault="00B22A1A" w:rsidP="00B22A1A">
      <w:pPr>
        <w:numPr>
          <w:ilvl w:val="0"/>
          <w:numId w:val="1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Cifrado AES-128 Inyectado:</w:t>
      </w:r>
      <w:r>
        <w:rPr>
          <w:rFonts w:ascii="Calibri" w:eastAsia="Times New Roman" w:hAnsi="Calibri" w:cs="Calibri"/>
        </w:rPr>
        <w:t xml:space="preserve"> Para cada uno de los 14,500 registros procesados en mayo, el proceso ETL inyectó la firma criptográfica (token AES) antes de su consolidación final. Se documentó que esta transformación "al vuelo" opera con una latencia sub-milisegundo, asegurando que el CPU no retrase el *pool* asíncrono de conexiones de PostgreSQL.</w:t>
      </w:r>
    </w:p>
    <w:p w14:paraId="478A2E90" w14:textId="77777777" w:rsidR="00B22A1A" w:rsidRDefault="00B22A1A">
      <w:pPr>
        <w:pStyle w:val="Ttulo3"/>
        <w:rPr>
          <w:rFonts w:ascii="Calibri" w:eastAsia="Times New Roman" w:hAnsi="Calibri" w:cs="Calibri"/>
        </w:rPr>
      </w:pPr>
      <w:r>
        <w:rPr>
          <w:rFonts w:ascii="Calibri" w:eastAsia="Times New Roman" w:hAnsi="Calibri" w:cs="Calibri"/>
        </w:rPr>
        <w:t>4.3 Fase de Carga Transaccional (*Load*)</w:t>
      </w:r>
    </w:p>
    <w:p w14:paraId="1B2934F0" w14:textId="77777777" w:rsidR="00B22A1A" w:rsidRDefault="00B22A1A">
      <w:pPr>
        <w:pStyle w:val="NormalWeb"/>
        <w:rPr>
          <w:rFonts w:ascii="Calibri" w:hAnsi="Calibri" w:cs="Calibri"/>
          <w:sz w:val="22"/>
          <w:szCs w:val="22"/>
        </w:rPr>
      </w:pPr>
      <w:r>
        <w:rPr>
          <w:rFonts w:ascii="Calibri" w:hAnsi="Calibri" w:cs="Calibri"/>
          <w:sz w:val="22"/>
          <w:szCs w:val="22"/>
        </w:rPr>
        <w:t>El análisis identificó un diseño de inserción modular sobre tres destinos clave simultáneos:</w:t>
      </w:r>
    </w:p>
    <w:p w14:paraId="16E0A0E0" w14:textId="77777777" w:rsidR="00B22A1A" w:rsidRDefault="00B22A1A">
      <w:pPr>
        <w:pStyle w:val="NormalWeb"/>
        <w:rPr>
          <w:rFonts w:ascii="Calibri" w:hAnsi="Calibri" w:cs="Calibri"/>
          <w:sz w:val="22"/>
          <w:szCs w:val="22"/>
        </w:rPr>
      </w:pPr>
      <w:r>
        <w:rPr>
          <w:rFonts w:ascii="Calibri" w:hAnsi="Calibri" w:cs="Calibri"/>
          <w:sz w:val="22"/>
          <w:szCs w:val="22"/>
        </w:rPr>
        <w:t xml:space="preserve">1. </w:t>
      </w:r>
      <w:r>
        <w:rPr>
          <w:rStyle w:val="CdigoHTML"/>
        </w:rPr>
        <w:t>Lote</w:t>
      </w:r>
      <w:r>
        <w:rPr>
          <w:rFonts w:ascii="Calibri" w:hAnsi="Calibri" w:cs="Calibri"/>
          <w:sz w:val="22"/>
          <w:szCs w:val="22"/>
        </w:rPr>
        <w:t>: Marcado de inicio, progresión y finalización del *pipeline*.</w:t>
      </w:r>
    </w:p>
    <w:p w14:paraId="42886201" w14:textId="77777777" w:rsidR="00B22A1A" w:rsidRDefault="00B22A1A">
      <w:pPr>
        <w:pStyle w:val="NormalWeb"/>
        <w:rPr>
          <w:rFonts w:ascii="Calibri" w:hAnsi="Calibri" w:cs="Calibri"/>
          <w:sz w:val="22"/>
          <w:szCs w:val="22"/>
        </w:rPr>
      </w:pPr>
      <w:r>
        <w:rPr>
          <w:rFonts w:ascii="Calibri" w:hAnsi="Calibri" w:cs="Calibri"/>
          <w:sz w:val="22"/>
          <w:szCs w:val="22"/>
        </w:rPr>
        <w:t xml:space="preserve">2. </w:t>
      </w:r>
      <w:r>
        <w:rPr>
          <w:rStyle w:val="CdigoHTML"/>
        </w:rPr>
        <w:t>CurpProcesada</w:t>
      </w:r>
      <w:r>
        <w:rPr>
          <w:rFonts w:ascii="Calibri" w:hAnsi="Calibri" w:cs="Calibri"/>
          <w:sz w:val="22"/>
          <w:szCs w:val="22"/>
        </w:rPr>
        <w:t>: Destino analítico del registro enriquecido (CCT, rutas y estados finales).</w:t>
      </w:r>
    </w:p>
    <w:p w14:paraId="052495C9" w14:textId="77777777" w:rsidR="00B22A1A" w:rsidRDefault="00B22A1A">
      <w:pPr>
        <w:pStyle w:val="NormalWeb"/>
        <w:rPr>
          <w:rFonts w:ascii="Calibri" w:hAnsi="Calibri" w:cs="Calibri"/>
          <w:sz w:val="22"/>
          <w:szCs w:val="22"/>
        </w:rPr>
      </w:pPr>
      <w:r>
        <w:rPr>
          <w:rFonts w:ascii="Calibri" w:hAnsi="Calibri" w:cs="Calibri"/>
          <w:sz w:val="22"/>
          <w:szCs w:val="22"/>
        </w:rPr>
        <w:t xml:space="preserve">3. </w:t>
      </w:r>
      <w:r>
        <w:rPr>
          <w:rStyle w:val="CdigoHTML"/>
        </w:rPr>
        <w:t>BitacoraEvento</w:t>
      </w:r>
      <w:r>
        <w:rPr>
          <w:rFonts w:ascii="Calibri" w:hAnsi="Calibri" w:cs="Calibri"/>
          <w:sz w:val="22"/>
          <w:szCs w:val="22"/>
        </w:rPr>
        <w:t>: Ingestión de auditoría por cada fallo de extracción o transformación.</w:t>
      </w:r>
    </w:p>
    <w:p w14:paraId="6792F631" w14:textId="77777777" w:rsidR="00B22A1A" w:rsidRDefault="00B22A1A">
      <w:pPr>
        <w:pStyle w:val="Ttulo2"/>
        <w:rPr>
          <w:rFonts w:ascii="Calibri" w:eastAsia="Times New Roman" w:hAnsi="Calibri" w:cs="Calibri"/>
        </w:rPr>
      </w:pPr>
      <w:r>
        <w:rPr>
          <w:rFonts w:ascii="Calibri" w:eastAsia="Times New Roman" w:hAnsi="Calibri" w:cs="Calibri"/>
        </w:rPr>
        <w:t>5. Estabilidad y Resiliencia del Pipeline bajo Pruebas de Estrés</w:t>
      </w:r>
    </w:p>
    <w:p w14:paraId="0BFB9C28" w14:textId="77777777" w:rsidR="00B22A1A" w:rsidRDefault="00B22A1A">
      <w:pPr>
        <w:pStyle w:val="NormalWeb"/>
        <w:rPr>
          <w:rFonts w:ascii="Calibri" w:hAnsi="Calibri" w:cs="Calibri"/>
          <w:sz w:val="22"/>
          <w:szCs w:val="22"/>
        </w:rPr>
      </w:pPr>
      <w:r>
        <w:rPr>
          <w:rFonts w:ascii="Calibri" w:hAnsi="Calibri" w:cs="Calibri"/>
          <w:sz w:val="22"/>
          <w:szCs w:val="22"/>
        </w:rPr>
        <w:t xml:space="preserve">Alineado al análisis técnico general (identificado en la transición Fase 2), el *pipeline* superó las pruebas delineadas en el </w:t>
      </w:r>
      <w:r>
        <w:rPr>
          <w:rStyle w:val="CdigoHTML"/>
        </w:rPr>
        <w:t>TEST-PLAN.md</w:t>
      </w:r>
      <w:r>
        <w:rPr>
          <w:rFonts w:ascii="Calibri" w:hAnsi="Calibri" w:cs="Calibri"/>
          <w:sz w:val="22"/>
          <w:szCs w:val="22"/>
        </w:rPr>
        <w:t xml:space="preserve"> confirmando una arquitectura robusta:</w:t>
      </w:r>
    </w:p>
    <w:p w14:paraId="4EA262A7" w14:textId="77777777" w:rsidR="00B22A1A" w:rsidRDefault="00B22A1A" w:rsidP="00B22A1A">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Desacoplamiento I/O vs. Red:</w:t>
      </w:r>
      <w:r>
        <w:rPr>
          <w:rFonts w:ascii="Calibri" w:eastAsia="Times New Roman" w:hAnsi="Calibri" w:cs="Calibri"/>
        </w:rPr>
        <w:t xml:space="preserve"> La separación de las funciones de red (llamadas a la API del proveedor) contra las funciones de escritura relacional (</w:t>
      </w:r>
      <w:r>
        <w:rPr>
          <w:rStyle w:val="CdigoHTML"/>
        </w:rPr>
        <w:t>pg8000</w:t>
      </w:r>
      <w:r>
        <w:rPr>
          <w:rFonts w:ascii="Calibri" w:eastAsia="Times New Roman" w:hAnsi="Calibri" w:cs="Calibri"/>
        </w:rPr>
        <w:t>) permitió que los tiempos de espera no bloquearan el motor de base de datos.</w:t>
      </w:r>
    </w:p>
    <w:p w14:paraId="46AF7C61" w14:textId="77777777" w:rsidR="00B22A1A" w:rsidRDefault="00B22A1A" w:rsidP="00B22A1A">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Confirmaciones Controladas (*Batch Commits*):</w:t>
      </w:r>
      <w:r>
        <w:rPr>
          <w:rFonts w:ascii="Calibri" w:eastAsia="Times New Roman" w:hAnsi="Calibri" w:cs="Calibri"/>
        </w:rPr>
        <w:t xml:space="preserve"> Se implementó una lógica de </w:t>
      </w:r>
      <w:r>
        <w:rPr>
          <w:rStyle w:val="CdigoHTML"/>
        </w:rPr>
        <w:t>COMMIT</w:t>
      </w:r>
      <w:r>
        <w:rPr>
          <w:rFonts w:ascii="Calibri" w:eastAsia="Times New Roman" w:hAnsi="Calibri" w:cs="Calibri"/>
        </w:rPr>
        <w:t xml:space="preserve"> seccionado cada bloque de 1,000 registros. Esta medida impide que el motor retenga candados en filas o que el área temporal (*Tablespace* de rollback de PostgreSQL) se sature y tire el servicio si ocurre una falla en el registro 14,000.</w:t>
      </w:r>
    </w:p>
    <w:p w14:paraId="55437BAA" w14:textId="77777777" w:rsidR="00B22A1A" w:rsidRDefault="00B22A1A">
      <w:pPr>
        <w:pStyle w:val="NormalWeb"/>
        <w:rPr>
          <w:rFonts w:ascii="Calibri" w:hAnsi="Calibri" w:cs="Calibri"/>
          <w:sz w:val="22"/>
          <w:szCs w:val="22"/>
        </w:rPr>
      </w:pPr>
      <w:r>
        <w:rPr>
          <w:rStyle w:val="Fuerte"/>
          <w:rFonts w:ascii="Calibri" w:hAnsi="Calibri" w:cs="Calibri"/>
          <w:sz w:val="22"/>
          <w:szCs w:val="22"/>
        </w:rPr>
        <w:t>Snippet de Lógica Batch Commit (Python/pg8000):</w:t>
      </w:r>
    </w:p>
    <w:p w14:paraId="18EC0E37" w14:textId="77777777" w:rsidR="00B22A1A" w:rsidRDefault="00B22A1A">
      <w:pPr>
        <w:pStyle w:val="HTMLconformatoprevio"/>
      </w:pPr>
    </w:p>
    <w:p w14:paraId="32EA0536" w14:textId="77777777" w:rsidR="00B22A1A" w:rsidRDefault="00B22A1A">
      <w:pPr>
        <w:pStyle w:val="HTMLconformatoprevio"/>
      </w:pPr>
      <w:r>
        <w:t>def bulk_insert_procesadas(conn, registros, batch_size=1000):</w:t>
      </w:r>
    </w:p>
    <w:p w14:paraId="56D6A90E" w14:textId="77777777" w:rsidR="00B22A1A" w:rsidRDefault="00B22A1A">
      <w:pPr>
        <w:pStyle w:val="HTMLconformatoprevio"/>
      </w:pPr>
      <w:r>
        <w:t xml:space="preserve">    cursor = conn.cursor()</w:t>
      </w:r>
    </w:p>
    <w:p w14:paraId="04206005" w14:textId="77777777" w:rsidR="00B22A1A" w:rsidRDefault="00B22A1A">
      <w:pPr>
        <w:pStyle w:val="HTMLconformatoprevio"/>
      </w:pPr>
      <w:r>
        <w:t xml:space="preserve">    try:</w:t>
      </w:r>
    </w:p>
    <w:p w14:paraId="691062CD" w14:textId="77777777" w:rsidR="00B22A1A" w:rsidRDefault="00B22A1A">
      <w:pPr>
        <w:pStyle w:val="HTMLconformatoprevio"/>
      </w:pPr>
      <w:r>
        <w:t xml:space="preserve">        conn.run("BEGIN")</w:t>
      </w:r>
    </w:p>
    <w:p w14:paraId="34AB3B26" w14:textId="77777777" w:rsidR="00B22A1A" w:rsidRDefault="00B22A1A">
      <w:pPr>
        <w:pStyle w:val="HTMLconformatoprevio"/>
      </w:pPr>
      <w:r>
        <w:t xml:space="preserve">        for i, registro in enumerate(registros):</w:t>
      </w:r>
    </w:p>
    <w:p w14:paraId="2808F121" w14:textId="77777777" w:rsidR="00B22A1A" w:rsidRDefault="00B22A1A">
      <w:pPr>
        <w:pStyle w:val="HTMLconformatoprevio"/>
      </w:pPr>
      <w:r>
        <w:t xml:space="preserve">            cursor.execute("INSERT INTO curp_procesada (...) VALUES (...)", registro)</w:t>
      </w:r>
    </w:p>
    <w:p w14:paraId="7A174E09" w14:textId="77777777" w:rsidR="00B22A1A" w:rsidRDefault="00B22A1A">
      <w:pPr>
        <w:pStyle w:val="HTMLconformatoprevio"/>
      </w:pPr>
      <w:r>
        <w:t xml:space="preserve">            </w:t>
      </w:r>
    </w:p>
    <w:p w14:paraId="6B19A14F" w14:textId="77777777" w:rsidR="00B22A1A" w:rsidRDefault="00B22A1A">
      <w:pPr>
        <w:pStyle w:val="HTMLconformatoprevio"/>
      </w:pPr>
      <w:r>
        <w:t xml:space="preserve">            # Liberar buffer transaccional cada 1000 registros</w:t>
      </w:r>
    </w:p>
    <w:p w14:paraId="514E3F38" w14:textId="77777777" w:rsidR="00B22A1A" w:rsidRDefault="00B22A1A">
      <w:pPr>
        <w:pStyle w:val="HTMLconformatoprevio"/>
      </w:pPr>
      <w:r>
        <w:t xml:space="preserve">            if (i + 1) % batch_size == 0:</w:t>
      </w:r>
    </w:p>
    <w:p w14:paraId="41DC3A5C" w14:textId="77777777" w:rsidR="00B22A1A" w:rsidRDefault="00B22A1A">
      <w:pPr>
        <w:pStyle w:val="HTMLconformatoprevio"/>
      </w:pPr>
      <w:r>
        <w:t xml:space="preserve">                conn.run("COMMIT")</w:t>
      </w:r>
    </w:p>
    <w:p w14:paraId="38B7AE4B" w14:textId="77777777" w:rsidR="00B22A1A" w:rsidRDefault="00B22A1A">
      <w:pPr>
        <w:pStyle w:val="HTMLconformatoprevio"/>
      </w:pPr>
      <w:r>
        <w:t xml:space="preserve">                conn.run("BEGIN")</w:t>
      </w:r>
    </w:p>
    <w:p w14:paraId="79A64909" w14:textId="77777777" w:rsidR="00B22A1A" w:rsidRDefault="00B22A1A">
      <w:pPr>
        <w:pStyle w:val="HTMLconformatoprevio"/>
      </w:pPr>
      <w:r>
        <w:t xml:space="preserve">                </w:t>
      </w:r>
    </w:p>
    <w:p w14:paraId="7B4CDDA5" w14:textId="77777777" w:rsidR="00B22A1A" w:rsidRDefault="00B22A1A">
      <w:pPr>
        <w:pStyle w:val="HTMLconformatoprevio"/>
      </w:pPr>
      <w:r>
        <w:t xml:space="preserve">        conn.run("COMMIT")  # Commit final del excedente</w:t>
      </w:r>
    </w:p>
    <w:p w14:paraId="4EDFFB0D" w14:textId="77777777" w:rsidR="00B22A1A" w:rsidRDefault="00B22A1A">
      <w:pPr>
        <w:pStyle w:val="HTMLconformatoprevio"/>
      </w:pPr>
      <w:r>
        <w:t xml:space="preserve">    except Exception as e:</w:t>
      </w:r>
    </w:p>
    <w:p w14:paraId="01AF0229" w14:textId="77777777" w:rsidR="00B22A1A" w:rsidRDefault="00B22A1A">
      <w:pPr>
        <w:pStyle w:val="HTMLconformatoprevio"/>
      </w:pPr>
      <w:r>
        <w:t xml:space="preserve">        conn.run("ROLLBACK")</w:t>
      </w:r>
    </w:p>
    <w:p w14:paraId="31F2899B" w14:textId="77777777" w:rsidR="00B22A1A" w:rsidRDefault="00B22A1A">
      <w:pPr>
        <w:pStyle w:val="HTMLconformatoprevio"/>
      </w:pPr>
      <w:r>
        <w:t xml:space="preserve">        registrar_error_dead_letter(registro, str(e))</w:t>
      </w:r>
    </w:p>
    <w:p w14:paraId="4095C751" w14:textId="77777777" w:rsidR="00B22A1A" w:rsidRDefault="00B22A1A">
      <w:pPr>
        <w:pStyle w:val="HTMLconformatoprevio"/>
      </w:pPr>
      <w:r>
        <w:t xml:space="preserve">    finally:</w:t>
      </w:r>
    </w:p>
    <w:p w14:paraId="4D0C4E42" w14:textId="77777777" w:rsidR="00B22A1A" w:rsidRDefault="00B22A1A">
      <w:pPr>
        <w:pStyle w:val="HTMLconformatoprevio"/>
      </w:pPr>
      <w:r>
        <w:t xml:space="preserve">        cursor.close()</w:t>
      </w:r>
    </w:p>
    <w:p w14:paraId="6C232007" w14:textId="77777777" w:rsidR="00B22A1A" w:rsidRDefault="00B22A1A">
      <w:pPr>
        <w:pStyle w:val="Ttulo2"/>
        <w:rPr>
          <w:rFonts w:ascii="Calibri" w:eastAsia="Times New Roman" w:hAnsi="Calibri" w:cs="Calibri"/>
        </w:rPr>
      </w:pPr>
      <w:r>
        <w:rPr>
          <w:rFonts w:ascii="Calibri" w:eastAsia="Times New Roman" w:hAnsi="Calibri" w:cs="Calibri"/>
        </w:rPr>
        <w:t>6. Mapeo Funcional del Proceso Documentado</w:t>
      </w:r>
    </w:p>
    <w:tbl>
      <w:tblPr>
        <w:tblW w:w="5000" w:type="pct"/>
        <w:tblCellMar>
          <w:top w:w="15" w:type="dxa"/>
          <w:left w:w="15" w:type="dxa"/>
          <w:bottom w:w="15" w:type="dxa"/>
          <w:right w:w="15" w:type="dxa"/>
        </w:tblCellMar>
        <w:tblLook w:val="04A0" w:firstRow="1" w:lastRow="0" w:firstColumn="1" w:lastColumn="0" w:noHBand="0" w:noVBand="1"/>
      </w:tblPr>
      <w:tblGrid>
        <w:gridCol w:w="2262"/>
        <w:gridCol w:w="3988"/>
        <w:gridCol w:w="3094"/>
      </w:tblGrid>
      <w:tr w:rsidR="00B22A1A" w14:paraId="27401E5E"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909585" w14:textId="77777777" w:rsidR="00B22A1A" w:rsidRDefault="00B22A1A">
            <w:pPr>
              <w:spacing w:before="180" w:after="180"/>
              <w:rPr>
                <w:rFonts w:ascii="Calibri" w:eastAsia="Times New Roman" w:hAnsi="Calibri" w:cs="Calibri"/>
                <w:b/>
                <w:bCs/>
              </w:rPr>
            </w:pPr>
            <w:r>
              <w:rPr>
                <w:rFonts w:ascii="Calibri" w:eastAsia="Times New Roman" w:hAnsi="Calibri" w:cs="Calibri"/>
                <w:b/>
                <w:bCs/>
              </w:rPr>
              <w:t>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C4D53A" w14:textId="77777777" w:rsidR="00B22A1A" w:rsidRDefault="00B22A1A">
            <w:pPr>
              <w:spacing w:before="180" w:after="180"/>
              <w:rPr>
                <w:rFonts w:ascii="Calibri" w:eastAsia="Times New Roman" w:hAnsi="Calibri" w:cs="Calibri"/>
                <w:b/>
                <w:bCs/>
              </w:rPr>
            </w:pPr>
            <w:r>
              <w:rPr>
                <w:rFonts w:ascii="Calibri" w:eastAsia="Times New Roman" w:hAnsi="Calibri" w:cs="Calibri"/>
                <w:b/>
                <w:bCs/>
              </w:rPr>
              <w:t>Proceso / Transformación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34D79B" w14:textId="77777777" w:rsidR="00B22A1A" w:rsidRDefault="00B22A1A">
            <w:pPr>
              <w:spacing w:before="180" w:after="180"/>
              <w:rPr>
                <w:rFonts w:ascii="Calibri" w:eastAsia="Times New Roman" w:hAnsi="Calibri" w:cs="Calibri"/>
                <w:b/>
                <w:bCs/>
              </w:rPr>
            </w:pPr>
            <w:r>
              <w:rPr>
                <w:rFonts w:ascii="Calibri" w:eastAsia="Times New Roman" w:hAnsi="Calibri" w:cs="Calibri"/>
                <w:b/>
                <w:bCs/>
              </w:rPr>
              <w:t>Destino / Salida</w:t>
            </w:r>
          </w:p>
        </w:tc>
      </w:tr>
      <w:tr w:rsidR="00B22A1A" w14:paraId="39B6A41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D9B372" w14:textId="77777777" w:rsidR="00B22A1A" w:rsidRDefault="00B22A1A">
            <w:pPr>
              <w:spacing w:before="180" w:after="180"/>
              <w:rPr>
                <w:rFonts w:ascii="Calibri" w:eastAsia="Times New Roman" w:hAnsi="Calibri" w:cs="Calibri"/>
              </w:rPr>
            </w:pPr>
            <w:r>
              <w:rPr>
                <w:rFonts w:ascii="Calibri" w:eastAsia="Times New Roman" w:hAnsi="Calibri" w:cs="Calibri"/>
              </w:rPr>
              <w:t>Layouts CSV de Tamizados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C5F833" w14:textId="77777777" w:rsidR="00B22A1A" w:rsidRDefault="00B22A1A">
            <w:pPr>
              <w:spacing w:before="180" w:after="180"/>
              <w:rPr>
                <w:rFonts w:ascii="Calibri" w:eastAsia="Times New Roman" w:hAnsi="Calibri" w:cs="Calibri"/>
              </w:rPr>
            </w:pPr>
            <w:r>
              <w:rPr>
                <w:rFonts w:ascii="Calibri" w:eastAsia="Times New Roman" w:hAnsi="Calibri" w:cs="Calibri"/>
              </w:rPr>
              <w:t>Validación regex de CURP y completitud de campos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CFA9ED" w14:textId="77777777" w:rsidR="00B22A1A" w:rsidRDefault="00B22A1A">
            <w:pPr>
              <w:spacing w:before="180" w:after="180"/>
              <w:rPr>
                <w:rFonts w:ascii="Calibri" w:eastAsia="Times New Roman" w:hAnsi="Calibri" w:cs="Calibri"/>
              </w:rPr>
            </w:pPr>
            <w:r>
              <w:rPr>
                <w:rFonts w:ascii="Calibri" w:eastAsia="Times New Roman" w:hAnsi="Calibri" w:cs="Calibri"/>
              </w:rPr>
              <w:t>Archivos transitorios (Staging)</w:t>
            </w:r>
          </w:p>
        </w:tc>
      </w:tr>
      <w:tr w:rsidR="00B22A1A" w14:paraId="5A32B1E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C0F825" w14:textId="77777777" w:rsidR="00B22A1A" w:rsidRDefault="00B22A1A">
            <w:pPr>
              <w:spacing w:before="180" w:after="180"/>
              <w:rPr>
                <w:rFonts w:ascii="Calibri" w:eastAsia="Times New Roman" w:hAnsi="Calibri" w:cs="Calibri"/>
              </w:rPr>
            </w:pPr>
            <w:r>
              <w:rPr>
                <w:rFonts w:ascii="Calibri" w:eastAsia="Times New Roman" w:hAnsi="Calibri" w:cs="Calibri"/>
              </w:rPr>
              <w:t>Layouts Temporales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FC6BD3" w14:textId="77777777" w:rsidR="00B22A1A" w:rsidRDefault="00B22A1A">
            <w:pPr>
              <w:spacing w:before="180" w:after="180"/>
              <w:rPr>
                <w:rFonts w:ascii="Calibri" w:eastAsia="Times New Roman" w:hAnsi="Calibri" w:cs="Calibri"/>
              </w:rPr>
            </w:pPr>
            <w:r>
              <w:rPr>
                <w:rFonts w:ascii="Calibri" w:eastAsia="Times New Roman" w:hAnsi="Calibri" w:cs="Calibri"/>
              </w:rPr>
              <w:t>Cruce relacional (*Data Profiling*) y desvío de errores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C142F6" w14:textId="77777777" w:rsidR="00B22A1A" w:rsidRDefault="00B22A1A">
            <w:pPr>
              <w:spacing w:before="180" w:after="180"/>
              <w:rPr>
                <w:rFonts w:ascii="Calibri" w:eastAsia="Times New Roman" w:hAnsi="Calibri" w:cs="Calibri"/>
              </w:rPr>
            </w:pPr>
            <w:r>
              <w:rPr>
                <w:rFonts w:ascii="Calibri" w:eastAsia="Times New Roman" w:hAnsi="Calibri" w:cs="Calibri"/>
              </w:rPr>
              <w:t>*Dead Letter Queue* (</w:t>
            </w:r>
            <w:r>
              <w:rPr>
                <w:rStyle w:val="CdigoHTML"/>
              </w:rPr>
              <w:t>.json</w:t>
            </w:r>
            <w:r>
              <w:rPr>
                <w:rFonts w:ascii="Calibri" w:eastAsia="Times New Roman" w:hAnsi="Calibri" w:cs="Calibri"/>
              </w:rPr>
              <w:t>) y RAM</w:t>
            </w:r>
          </w:p>
        </w:tc>
      </w:tr>
      <w:tr w:rsidR="00B22A1A" w14:paraId="1DCAE04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DEEEC3" w14:textId="77777777" w:rsidR="00B22A1A" w:rsidRDefault="00B22A1A">
            <w:pPr>
              <w:spacing w:before="180" w:after="180"/>
              <w:rPr>
                <w:rFonts w:ascii="Calibri" w:eastAsia="Times New Roman" w:hAnsi="Calibri" w:cs="Calibri"/>
              </w:rPr>
            </w:pPr>
            <w:r>
              <w:rPr>
                <w:rStyle w:val="CdigoHTML"/>
              </w:rPr>
              <w:t>catalogo_cct</w:t>
            </w:r>
            <w:r>
              <w:rPr>
                <w:rFonts w:ascii="Calibri" w:eastAsia="Times New Roman" w:hAnsi="Calibri" w:cs="Calibri"/>
              </w:rPr>
              <w:t xml:space="preserve"> (DB)</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7A8981" w14:textId="77777777" w:rsidR="00B22A1A" w:rsidRDefault="00B22A1A">
            <w:pPr>
              <w:spacing w:before="180" w:after="180"/>
              <w:rPr>
                <w:rFonts w:ascii="Calibri" w:eastAsia="Times New Roman" w:hAnsi="Calibri" w:cs="Calibri"/>
              </w:rPr>
            </w:pPr>
            <w:r>
              <w:rPr>
                <w:rFonts w:ascii="Calibri" w:eastAsia="Times New Roman" w:hAnsi="Calibri" w:cs="Calibri"/>
              </w:rPr>
              <w:t>Enriquecimiento con estado, localidad, municipio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F9EB75" w14:textId="77777777" w:rsidR="00B22A1A" w:rsidRDefault="00B22A1A">
            <w:pPr>
              <w:spacing w:before="180" w:after="180"/>
              <w:rPr>
                <w:rFonts w:ascii="Calibri" w:eastAsia="Times New Roman" w:hAnsi="Calibri" w:cs="Calibri"/>
              </w:rPr>
            </w:pPr>
            <w:r>
              <w:rPr>
                <w:rFonts w:ascii="Calibri" w:eastAsia="Times New Roman" w:hAnsi="Calibri" w:cs="Calibri"/>
              </w:rPr>
              <w:t>Registro Operativo Consolidado</w:t>
            </w:r>
          </w:p>
        </w:tc>
      </w:tr>
      <w:tr w:rsidR="00B22A1A" w14:paraId="4F2202F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0B493C" w14:textId="77777777" w:rsidR="00B22A1A" w:rsidRDefault="00B22A1A">
            <w:pPr>
              <w:spacing w:before="180" w:after="180"/>
              <w:rPr>
                <w:rFonts w:ascii="Calibri" w:eastAsia="Times New Roman" w:hAnsi="Calibri" w:cs="Calibri"/>
              </w:rPr>
            </w:pPr>
            <w:r>
              <w:rPr>
                <w:rFonts w:ascii="Calibri" w:eastAsia="Times New Roman" w:hAnsi="Calibri" w:cs="Calibri"/>
              </w:rPr>
              <w:t>Token / Secret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0527D0" w14:textId="77777777" w:rsidR="00B22A1A" w:rsidRDefault="00B22A1A">
            <w:pPr>
              <w:spacing w:before="180" w:after="180"/>
              <w:rPr>
                <w:rFonts w:ascii="Calibri" w:eastAsia="Times New Roman" w:hAnsi="Calibri" w:cs="Calibri"/>
              </w:rPr>
            </w:pPr>
            <w:r>
              <w:rPr>
                <w:rFonts w:ascii="Calibri" w:eastAsia="Times New Roman" w:hAnsi="Calibri" w:cs="Calibri"/>
              </w:rPr>
              <w:t>Transformación de campos a token AES-128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D52610" w14:textId="77777777" w:rsidR="00B22A1A" w:rsidRDefault="00B22A1A">
            <w:pPr>
              <w:spacing w:before="180" w:after="180"/>
              <w:rPr>
                <w:rFonts w:ascii="Calibri" w:eastAsia="Times New Roman" w:hAnsi="Calibri" w:cs="Calibri"/>
              </w:rPr>
            </w:pPr>
            <w:r>
              <w:rPr>
                <w:rFonts w:ascii="Calibri" w:eastAsia="Times New Roman" w:hAnsi="Calibri" w:cs="Calibri"/>
              </w:rPr>
              <w:t>Memoria (Preparación para IMSS)</w:t>
            </w:r>
          </w:p>
        </w:tc>
      </w:tr>
      <w:tr w:rsidR="00B22A1A" w14:paraId="6B27575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D783D5" w14:textId="77777777" w:rsidR="00B22A1A" w:rsidRDefault="00B22A1A">
            <w:pPr>
              <w:spacing w:before="180" w:after="180"/>
              <w:rPr>
                <w:rFonts w:ascii="Calibri" w:eastAsia="Times New Roman" w:hAnsi="Calibri" w:cs="Calibri"/>
              </w:rPr>
            </w:pPr>
            <w:r>
              <w:rPr>
                <w:rFonts w:ascii="Calibri" w:eastAsia="Times New Roman" w:hAnsi="Calibri" w:cs="Calibri"/>
              </w:rPr>
              <w:t>Bloques consolidados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E969A1" w14:textId="77777777" w:rsidR="00B22A1A" w:rsidRDefault="00B22A1A">
            <w:pPr>
              <w:spacing w:before="180" w:after="180"/>
              <w:rPr>
                <w:rFonts w:ascii="Calibri" w:eastAsia="Times New Roman" w:hAnsi="Calibri" w:cs="Calibri"/>
              </w:rPr>
            </w:pPr>
            <w:r>
              <w:rPr>
                <w:rFonts w:ascii="Calibri" w:eastAsia="Times New Roman" w:hAnsi="Calibri" w:cs="Calibri"/>
              </w:rPr>
              <w:t xml:space="preserve">Inserciones y </w:t>
            </w:r>
            <w:r>
              <w:rPr>
                <w:rStyle w:val="CdigoHTML"/>
              </w:rPr>
              <w:t>UPDATE</w:t>
            </w:r>
            <w:r>
              <w:rPr>
                <w:rFonts w:ascii="Calibri" w:eastAsia="Times New Roman" w:hAnsi="Calibri" w:cs="Calibri"/>
              </w:rPr>
              <w:t xml:space="preserve"> segmentados (commit x 1000)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862ADE" w14:textId="77777777" w:rsidR="00B22A1A" w:rsidRDefault="00B22A1A">
            <w:pPr>
              <w:spacing w:before="180" w:after="180"/>
              <w:rPr>
                <w:rFonts w:ascii="Calibri" w:eastAsia="Times New Roman" w:hAnsi="Calibri" w:cs="Calibri"/>
              </w:rPr>
            </w:pPr>
            <w:r>
              <w:rPr>
                <w:rStyle w:val="CdigoHTML"/>
              </w:rPr>
              <w:t>CurpProcesada</w:t>
            </w:r>
            <w:r>
              <w:rPr>
                <w:rFonts w:ascii="Calibri" w:eastAsia="Times New Roman" w:hAnsi="Calibri" w:cs="Calibri"/>
              </w:rPr>
              <w:t xml:space="preserve"> y </w:t>
            </w:r>
            <w:r>
              <w:rPr>
                <w:rStyle w:val="CdigoHTML"/>
              </w:rPr>
              <w:t>BitacoraEvento</w:t>
            </w:r>
          </w:p>
        </w:tc>
      </w:tr>
    </w:tbl>
    <w:p w14:paraId="5F4EBCDC" w14:textId="77777777" w:rsidR="00B22A1A" w:rsidRDefault="00B22A1A">
      <w:pPr>
        <w:pStyle w:val="Ttulo2"/>
        <w:rPr>
          <w:rFonts w:ascii="Calibri" w:eastAsia="Times New Roman" w:hAnsi="Calibri" w:cs="Calibri"/>
        </w:rPr>
      </w:pPr>
      <w:r>
        <w:rPr>
          <w:rFonts w:ascii="Calibri" w:eastAsia="Times New Roman" w:hAnsi="Calibri" w:cs="Calibri"/>
        </w:rPr>
        <w:t>7. Formatos de Archivo: Manejo Presente y Transición</w:t>
      </w:r>
    </w:p>
    <w:p w14:paraId="6AB0215B" w14:textId="77777777" w:rsidR="00B22A1A" w:rsidRDefault="00B22A1A" w:rsidP="00B22A1A">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CSV:</w:t>
      </w:r>
      <w:r>
        <w:rPr>
          <w:rFonts w:ascii="Calibri" w:eastAsia="Times New Roman" w:hAnsi="Calibri" w:cs="Calibri"/>
        </w:rPr>
        <w:t xml:space="preserve"> Principal vector de ingesta masiva en mayo. Su naturaleza de texto plano forzó el desarrollo de validadores robustos en la etapa de Extracción.</w:t>
      </w:r>
    </w:p>
    <w:p w14:paraId="01FC8D4F" w14:textId="77777777" w:rsidR="00B22A1A" w:rsidRDefault="00B22A1A" w:rsidP="00B22A1A">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JSON:</w:t>
      </w:r>
      <w:r>
        <w:rPr>
          <w:rFonts w:ascii="Calibri" w:eastAsia="Times New Roman" w:hAnsi="Calibri" w:cs="Calibri"/>
        </w:rPr>
        <w:t xml:space="preserve"> Utilizado proactivamente para almacenar registros anómalos o estructuras de error dinámicas (</w:t>
      </w:r>
      <w:r>
        <w:rPr>
          <w:rStyle w:val="CdigoHTML"/>
        </w:rPr>
        <w:t>depuracion_errores.json</w:t>
      </w:r>
      <w:r>
        <w:rPr>
          <w:rFonts w:ascii="Calibri" w:eastAsia="Times New Roman" w:hAnsi="Calibri" w:cs="Calibri"/>
        </w:rPr>
        <w:t>).</w:t>
      </w:r>
    </w:p>
    <w:p w14:paraId="50C5BCBB" w14:textId="77777777" w:rsidR="00B22A1A" w:rsidRDefault="00B22A1A">
      <w:pPr>
        <w:pStyle w:val="Ttulo2"/>
        <w:rPr>
          <w:rFonts w:ascii="Calibri" w:eastAsia="Times New Roman" w:hAnsi="Calibri" w:cs="Calibri"/>
        </w:rPr>
      </w:pPr>
      <w:r>
        <w:rPr>
          <w:rFonts w:ascii="Calibri" w:eastAsia="Times New Roman" w:hAnsi="Calibri" w:cs="Calibri"/>
        </w:rPr>
        <w:t>8. Evidencia Técnica Específica del Avance</w:t>
      </w:r>
    </w:p>
    <w:p w14:paraId="4CE63225" w14:textId="77777777" w:rsidR="00B22A1A" w:rsidRDefault="00B22A1A">
      <w:pPr>
        <w:pStyle w:val="NormalWeb"/>
        <w:rPr>
          <w:rFonts w:ascii="Calibri" w:hAnsi="Calibri" w:cs="Calibri"/>
          <w:sz w:val="22"/>
          <w:szCs w:val="22"/>
        </w:rPr>
      </w:pPr>
      <w:r>
        <w:rPr>
          <w:rFonts w:ascii="Calibri" w:hAnsi="Calibri" w:cs="Calibri"/>
          <w:sz w:val="22"/>
          <w:szCs w:val="22"/>
        </w:rPr>
        <w:t>La evidencia observable lograda durante las ejecuciones simuladas de DEV refleja:</w:t>
      </w:r>
    </w:p>
    <w:p w14:paraId="361E889D" w14:textId="77777777" w:rsidR="00B22A1A" w:rsidRDefault="00B22A1A" w:rsidP="00B22A1A">
      <w:pPr>
        <w:numPr>
          <w:ilvl w:val="0"/>
          <w:numId w:val="20"/>
        </w:numPr>
        <w:spacing w:before="100" w:beforeAutospacing="1" w:after="100" w:afterAutospacing="1" w:line="240" w:lineRule="auto"/>
        <w:rPr>
          <w:rFonts w:ascii="Calibri" w:eastAsia="Times New Roman" w:hAnsi="Calibri" w:cs="Calibri"/>
        </w:rPr>
      </w:pPr>
      <w:r>
        <w:rPr>
          <w:rFonts w:ascii="Calibri" w:eastAsia="Times New Roman" w:hAnsi="Calibri" w:cs="Calibri"/>
        </w:rPr>
        <w:t>Archivos generados en rutas controladas al segregar información defectuosa de manera silente y automática.</w:t>
      </w:r>
    </w:p>
    <w:p w14:paraId="4C6BBA56" w14:textId="77777777" w:rsidR="00B22A1A" w:rsidRDefault="00B22A1A" w:rsidP="00B22A1A">
      <w:pPr>
        <w:numPr>
          <w:ilvl w:val="0"/>
          <w:numId w:val="20"/>
        </w:numPr>
        <w:spacing w:before="100" w:beforeAutospacing="1" w:after="100" w:afterAutospacing="1" w:line="240" w:lineRule="auto"/>
        <w:rPr>
          <w:rFonts w:ascii="Calibri" w:eastAsia="Times New Roman" w:hAnsi="Calibri" w:cs="Calibri"/>
        </w:rPr>
      </w:pPr>
      <w:r>
        <w:rPr>
          <w:rFonts w:ascii="Calibri" w:eastAsia="Times New Roman" w:hAnsi="Calibri" w:cs="Calibri"/>
        </w:rPr>
        <w:t>Consultas registradas en los reportes de rendimiento que confirman inserciones exitosas y control de *Rollbacks* puntuales cuando la conexión a la red se interrumpía intencionalmente en pruebas de caos.</w:t>
      </w:r>
    </w:p>
    <w:p w14:paraId="5BD86422" w14:textId="77777777" w:rsidR="00B22A1A" w:rsidRDefault="00B22A1A" w:rsidP="00B22A1A">
      <w:pPr>
        <w:numPr>
          <w:ilvl w:val="0"/>
          <w:numId w:val="20"/>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Registro total de 14,500 interacciones sin un solo colapso sistémico del </w:t>
      </w:r>
      <w:r>
        <w:rPr>
          <w:rStyle w:val="CdigoHTML"/>
        </w:rPr>
        <w:t>ThreadPoolExecutor</w:t>
      </w:r>
      <w:r>
        <w:rPr>
          <w:rFonts w:ascii="Calibri" w:eastAsia="Times New Roman" w:hAnsi="Calibri" w:cs="Calibri"/>
        </w:rPr>
        <w:t>.</w:t>
      </w:r>
    </w:p>
    <w:p w14:paraId="178665F7" w14:textId="77777777" w:rsidR="00B22A1A" w:rsidRDefault="00B22A1A">
      <w:pPr>
        <w:pStyle w:val="Ttulo2"/>
        <w:rPr>
          <w:rFonts w:ascii="Calibri" w:eastAsia="Times New Roman" w:hAnsi="Calibri" w:cs="Calibri"/>
        </w:rPr>
      </w:pPr>
      <w:r>
        <w:rPr>
          <w:rFonts w:ascii="Calibri" w:eastAsia="Times New Roman" w:hAnsi="Calibri" w:cs="Calibri"/>
        </w:rPr>
        <w:t>9. Riesgos e Incidencias en la Ingesta</w:t>
      </w:r>
    </w:p>
    <w:p w14:paraId="1A0260A4" w14:textId="77777777" w:rsidR="00B22A1A" w:rsidRDefault="00B22A1A" w:rsidP="00B22A1A">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Lentitud de inserción masiva (</w:t>
      </w:r>
      <w:r>
        <w:rPr>
          <w:rStyle w:val="CdigoHTML"/>
          <w:b/>
          <w:bCs/>
        </w:rPr>
        <w:t>INSERT</w:t>
      </w:r>
      <w:r>
        <w:rPr>
          <w:rStyle w:val="Fuerte"/>
          <w:rFonts w:ascii="Calibri" w:eastAsia="Times New Roman" w:hAnsi="Calibri" w:cs="Calibri"/>
        </w:rPr>
        <w:t xml:space="preserve"> iterativo):</w:t>
      </w:r>
      <w:r>
        <w:rPr>
          <w:rFonts w:ascii="Calibri" w:eastAsia="Times New Roman" w:hAnsi="Calibri" w:cs="Calibri"/>
        </w:rPr>
        <w:t xml:space="preserve"> A pesar de la robustez de los lotes de 1000 registros, el uso constante del comando </w:t>
      </w:r>
      <w:r>
        <w:rPr>
          <w:rStyle w:val="CdigoHTML"/>
        </w:rPr>
        <w:t>INSERT</w:t>
      </w:r>
      <w:r>
        <w:rPr>
          <w:rFonts w:ascii="Calibri" w:eastAsia="Times New Roman" w:hAnsi="Calibri" w:cs="Calibri"/>
        </w:rPr>
        <w:t xml:space="preserve"> tradicional a través de </w:t>
      </w:r>
      <w:r>
        <w:rPr>
          <w:rStyle w:val="CdigoHTML"/>
        </w:rPr>
        <w:t>pg8000</w:t>
      </w:r>
      <w:r>
        <w:rPr>
          <w:rFonts w:ascii="Calibri" w:eastAsia="Times New Roman" w:hAnsi="Calibri" w:cs="Calibri"/>
        </w:rPr>
        <w:t xml:space="preserve"> presenta oportunidades de mejora frente a escenarios de mayor volumetría esperados para julio (e.g. 500,000 registros).</w:t>
      </w:r>
    </w:p>
    <w:p w14:paraId="684237FC" w14:textId="77777777" w:rsidR="00B22A1A" w:rsidRDefault="00B22A1A" w:rsidP="00B22A1A">
      <w:pPr>
        <w:numPr>
          <w:ilvl w:val="0"/>
          <w:numId w:val="2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Esquemas Rígidos:</w:t>
      </w:r>
      <w:r>
        <w:rPr>
          <w:rFonts w:ascii="Calibri" w:eastAsia="Times New Roman" w:hAnsi="Calibri" w:cs="Calibri"/>
        </w:rPr>
        <w:t xml:space="preserve"> La dependencia continua en validaciones manuales de los archivos CSV impone fragilidad si la Secretaría modifica los layouts abruptamente.</w:t>
      </w:r>
    </w:p>
    <w:p w14:paraId="4F6AB888" w14:textId="77777777" w:rsidR="00B22A1A" w:rsidRDefault="00B22A1A">
      <w:pPr>
        <w:pStyle w:val="Ttulo2"/>
        <w:rPr>
          <w:rFonts w:ascii="Calibri" w:eastAsia="Times New Roman" w:hAnsi="Calibri" w:cs="Calibri"/>
        </w:rPr>
      </w:pPr>
      <w:r>
        <w:rPr>
          <w:rFonts w:ascii="Calibri" w:eastAsia="Times New Roman" w:hAnsi="Calibri" w:cs="Calibri"/>
        </w:rPr>
        <w:t>10. Próximos Pasos (Junio 2026)</w:t>
      </w:r>
    </w:p>
    <w:p w14:paraId="4C360828" w14:textId="77777777" w:rsidR="00B22A1A" w:rsidRDefault="00B22A1A" w:rsidP="00B22A1A">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 xml:space="preserve">Escalar la inserción Bulk con técnica </w:t>
      </w:r>
      <w:r>
        <w:rPr>
          <w:rStyle w:val="CdigoHTML"/>
          <w:b/>
          <w:bCs/>
        </w:rPr>
        <w:t>COPY</w:t>
      </w:r>
      <w:r>
        <w:rPr>
          <w:rStyle w:val="Fuerte"/>
          <w:rFonts w:ascii="Calibri" w:eastAsia="Times New Roman" w:hAnsi="Calibri" w:cs="Calibri"/>
        </w:rPr>
        <w:t>:</w:t>
      </w:r>
      <w:r>
        <w:rPr>
          <w:rFonts w:ascii="Calibri" w:eastAsia="Times New Roman" w:hAnsi="Calibri" w:cs="Calibri"/>
        </w:rPr>
        <w:t xml:space="preserve"> Modificar el backend ETL para que utilice el comando binario </w:t>
      </w:r>
      <w:r>
        <w:rPr>
          <w:rStyle w:val="CdigoHTML"/>
        </w:rPr>
        <w:t>COPY</w:t>
      </w:r>
      <w:r>
        <w:rPr>
          <w:rFonts w:ascii="Calibri" w:eastAsia="Times New Roman" w:hAnsi="Calibri" w:cs="Calibri"/>
        </w:rPr>
        <w:t xml:space="preserve"> propio de PostgreSQL a través del conector, lo que maximizará exponencialmente la latencia de respuesta para lotes de cientos de miles de registros.</w:t>
      </w:r>
    </w:p>
    <w:p w14:paraId="4FE3BCB3" w14:textId="77777777" w:rsidR="00B22A1A" w:rsidRDefault="00B22A1A" w:rsidP="00B22A1A">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Consolidación de Layouts IMSS-Bienestar:</w:t>
      </w:r>
      <w:r>
        <w:rPr>
          <w:rFonts w:ascii="Calibri" w:eastAsia="Times New Roman" w:hAnsi="Calibri" w:cs="Calibri"/>
        </w:rPr>
        <w:t xml:space="preserve"> Parametrizar dinámicamente los esquemas de archivos (JSON/CSV) hacia el cierre de junio, permitiendo la ingesta automática a partir de layouts unificados de exclusión y de atención médica procedentes de las unidades de IMSS-Bienestar.</w:t>
      </w:r>
    </w:p>
    <w:p w14:paraId="6ECAF485" w14:textId="77777777" w:rsidR="00B22A1A" w:rsidRDefault="00B22A1A" w:rsidP="00B22A1A">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Implementar Apache Parquet:</w:t>
      </w:r>
      <w:r>
        <w:rPr>
          <w:rFonts w:ascii="Calibri" w:eastAsia="Times New Roman" w:hAnsi="Calibri" w:cs="Calibri"/>
        </w:rPr>
        <w:t xml:space="preserve"> Como se sugirió en los reportes de Inteligencia Artificial, adaptar el pipeline ETL para que las exportaciones post-procesamiento se generen en formato Parquet, eliminando cuellos de botella de disco.</w:t>
      </w:r>
    </w:p>
    <w:p w14:paraId="7B1375D1" w14:textId="77777777" w:rsidR="00B22A1A" w:rsidRDefault="00B22A1A">
      <w:pPr>
        <w:rPr>
          <w:rFonts w:ascii="Calibri" w:eastAsia="Times New Roman" w:hAnsi="Calibri" w:cs="Calibri"/>
        </w:rPr>
      </w:pPr>
      <w:r>
        <w:rPr>
          <w:rFonts w:ascii="Calibri" w:eastAsia="Times New Roman" w:hAnsi="Calibri" w:cs="Calibri"/>
        </w:rPr>
        <w:pict w14:anchorId="05B7413D">
          <v:rect id="_x0000_i1026" style="width:0;height:1.5pt" o:hralign="center" o:hrstd="t" o:hr="t" fillcolor="#a0a0a0" stroked="f"/>
        </w:pict>
      </w:r>
    </w:p>
    <w:p w14:paraId="349BDB85" w14:textId="77777777" w:rsidR="00B22A1A" w:rsidRDefault="00B22A1A">
      <w:pPr>
        <w:pStyle w:val="NormalWeb"/>
        <w:rPr>
          <w:rFonts w:ascii="Calibri" w:hAnsi="Calibri" w:cs="Calibri"/>
          <w:sz w:val="22"/>
          <w:szCs w:val="22"/>
        </w:rPr>
      </w:pPr>
      <w:r>
        <w:rPr>
          <w:rStyle w:val="Fuerte"/>
          <w:rFonts w:ascii="Calibri" w:hAnsi="Calibri" w:cs="Calibri"/>
          <w:sz w:val="22"/>
          <w:szCs w:val="22"/>
        </w:rPr>
        <w:t>Comentarios adicionales:</w:t>
      </w:r>
    </w:p>
    <w:p w14:paraId="5A415C40" w14:textId="77777777" w:rsidR="00B22A1A" w:rsidRDefault="00B22A1A">
      <w:pPr>
        <w:pStyle w:val="NormalWeb"/>
        <w:rPr>
          <w:rFonts w:ascii="Calibri" w:hAnsi="Calibri" w:cs="Calibri"/>
          <w:sz w:val="22"/>
          <w:szCs w:val="22"/>
        </w:rPr>
      </w:pPr>
      <w:r>
        <w:rPr>
          <w:rFonts w:ascii="Calibri" w:hAnsi="Calibri" w:cs="Calibri"/>
          <w:sz w:val="22"/>
          <w:szCs w:val="22"/>
        </w:rPr>
        <w:t>Este entregable corresponde al avance de pruebas técnicas de mayo de 2026. Atestigua el éxito de la Fase 2 al mover el proceso desde un estado de diseño especulativo a una operación de ETL transaccional, resiliente y depurada, lista para transitar hacia técnicas avanzadas de ingesta masiva (COPY) durante las entregas subsecuentes.</w:t>
      </w:r>
    </w:p>
    <w:p w14:paraId="356666F4" w14:textId="77777777" w:rsidR="00762984" w:rsidRPr="00762984" w:rsidRDefault="00762984" w:rsidP="00762984">
      <w:pPr>
        <w:rPr>
          <w:rFonts w:asciiTheme="minorHAnsi" w:hAnsiTheme="minorHAnsi"/>
          <w:color w:val="auto"/>
        </w:rPr>
      </w:pPr>
    </w:p>
    <w:p w14:paraId="34886560" w14:textId="77777777" w:rsidR="00762984" w:rsidRPr="00762984" w:rsidRDefault="00762984" w:rsidP="00762984">
      <w:pPr>
        <w:rPr>
          <w:rFonts w:asciiTheme="minorHAnsi" w:hAnsiTheme="minorHAnsi"/>
          <w:color w:val="auto"/>
        </w:rPr>
      </w:pPr>
    </w:p>
    <w:p w14:paraId="6FA5D955" w14:textId="77777777" w:rsidR="00762984" w:rsidRPr="00762984" w:rsidRDefault="00762984"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0" w:name="_Toc217296775"/>
      <w:bookmarkStart w:id="1" w:name="_Toc219739752"/>
      <w:r w:rsidRPr="00762984">
        <w:rPr>
          <w:rFonts w:asciiTheme="majorHAnsi" w:eastAsiaTheme="majorEastAsia" w:hAnsiTheme="majorHAnsi" w:cstheme="majorBidi"/>
          <w:b/>
          <w:bCs/>
          <w:color w:val="4F81BD" w:themeColor="accent1"/>
          <w:sz w:val="26"/>
          <w:szCs w:val="26"/>
        </w:rPr>
        <w:t>8. Sección de firmas</w:t>
      </w:r>
      <w:bookmarkEnd w:id="0"/>
      <w:bookmarkEnd w:id="1"/>
    </w:p>
    <w:p w14:paraId="488F7A54" w14:textId="77777777" w:rsidR="00762984" w:rsidRPr="00762984" w:rsidRDefault="00762984" w:rsidP="00762984">
      <w:pPr>
        <w:rPr>
          <w:rFonts w:asciiTheme="minorHAnsi" w:hAnsiTheme="minorHAnsi"/>
          <w:color w:val="auto"/>
        </w:rPr>
      </w:pPr>
    </w:p>
    <w:p w14:paraId="4354CA72" w14:textId="77777777" w:rsidR="00762984" w:rsidRPr="00762984" w:rsidRDefault="00762984" w:rsidP="00762984">
      <w:pPr>
        <w:rPr>
          <w:rFonts w:ascii="Arial" w:hAnsi="Arial" w:cs="Arial"/>
          <w:color w:val="auto"/>
        </w:rPr>
      </w:pPr>
      <w:r w:rsidRPr="00762984">
        <w:rPr>
          <w:rFonts w:ascii="Arial" w:hAnsi="Arial" w:cs="Arial"/>
          <w:color w:val="auto"/>
        </w:rPr>
        <w:t>Tras la revisión del documento,</w:t>
      </w:r>
      <w:r w:rsidRPr="00762984">
        <w:rPr>
          <w:rFonts w:asciiTheme="minorHAnsi" w:hAnsiTheme="minorHAnsi"/>
          <w:color w:val="auto"/>
        </w:rPr>
        <w:t xml:space="preserve"> s</w:t>
      </w:r>
      <w:r w:rsidRPr="00762984">
        <w:rPr>
          <w:rFonts w:ascii="Arial" w:hAnsi="Arial" w:cs="Arial"/>
          <w:color w:val="auto"/>
        </w:rPr>
        <w:t>e presentan las firmas de elaboración y aprobación:</w:t>
      </w:r>
    </w:p>
    <w:p w14:paraId="1BADAD35" w14:textId="77777777" w:rsidR="00B614EE" w:rsidRDefault="00B614EE" w:rsidP="003B7A12">
      <w:pPr>
        <w:spacing w:line="360" w:lineRule="auto"/>
        <w:rPr>
          <w:rFonts w:ascii="Montserrat" w:hAnsi="Montserrat"/>
          <w:sz w:val="24"/>
          <w:szCs w:val="24"/>
        </w:rPr>
      </w:pPr>
    </w:p>
    <w:p w14:paraId="0A2D1410" w14:textId="77777777" w:rsidR="00B614EE" w:rsidRPr="003B7A12"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3B7A12" w14:paraId="1DCD0059" w14:textId="77777777" w:rsidTr="00E41D98">
        <w:trPr>
          <w:trHeight w:val="1410"/>
        </w:trPr>
        <w:tc>
          <w:tcPr>
            <w:tcW w:w="4675" w:type="dxa"/>
          </w:tcPr>
          <w:p w14:paraId="39E4F0BD" w14:textId="77777777" w:rsidR="00C72784" w:rsidRPr="003B7A12" w:rsidRDefault="00C72784" w:rsidP="003B7A12">
            <w:pPr>
              <w:spacing w:line="360" w:lineRule="auto"/>
              <w:rPr>
                <w:rFonts w:ascii="Montserrat" w:hAnsi="Montserrat"/>
                <w:sz w:val="24"/>
                <w:szCs w:val="24"/>
              </w:rPr>
            </w:pPr>
          </w:p>
        </w:tc>
        <w:tc>
          <w:tcPr>
            <w:tcW w:w="4675" w:type="dxa"/>
          </w:tcPr>
          <w:p w14:paraId="1EF450D0" w14:textId="77777777" w:rsidR="00C72784" w:rsidRPr="003B7A12" w:rsidRDefault="00C72784" w:rsidP="003B7A12">
            <w:pPr>
              <w:spacing w:line="360" w:lineRule="auto"/>
              <w:rPr>
                <w:rFonts w:ascii="Montserrat" w:hAnsi="Montserrat"/>
                <w:sz w:val="24"/>
                <w:szCs w:val="24"/>
              </w:rPr>
            </w:pPr>
          </w:p>
        </w:tc>
      </w:tr>
      <w:tr w:rsidR="00C72784" w:rsidRPr="003B7A12" w14:paraId="7D0815A2" w14:textId="77777777" w:rsidTr="00E41D98">
        <w:tc>
          <w:tcPr>
            <w:tcW w:w="4675" w:type="dxa"/>
          </w:tcPr>
          <w:p w14:paraId="5C93266E" w14:textId="38C4471D" w:rsidR="00C72784" w:rsidRPr="003B7A12" w:rsidRDefault="003A3A97" w:rsidP="003B7A12">
            <w:pPr>
              <w:spacing w:line="360" w:lineRule="auto"/>
              <w:jc w:val="center"/>
              <w:rPr>
                <w:rFonts w:ascii="Montserrat" w:hAnsi="Montserrat"/>
                <w:sz w:val="24"/>
                <w:szCs w:val="24"/>
              </w:rPr>
            </w:pPr>
            <w:r>
              <w:rPr>
                <w:rFonts w:ascii="Montserrat" w:hAnsi="Montserrat" w:cs="Noto Sans"/>
                <w:bCs/>
                <w:i/>
                <w:iCs/>
                <w:sz w:val="24"/>
                <w:szCs w:val="24"/>
              </w:rPr>
              <w:t xml:space="preserve">Victor </w:t>
            </w:r>
            <w:r w:rsidR="00055D65">
              <w:rPr>
                <w:rFonts w:ascii="Montserrat" w:hAnsi="Montserrat" w:cs="Noto Sans"/>
                <w:bCs/>
                <w:i/>
                <w:iCs/>
                <w:sz w:val="24"/>
                <w:szCs w:val="24"/>
              </w:rPr>
              <w:t>Lelo de Larrea Polanco</w:t>
            </w:r>
          </w:p>
        </w:tc>
        <w:tc>
          <w:tcPr>
            <w:tcW w:w="4675" w:type="dxa"/>
          </w:tcPr>
          <w:p w14:paraId="14362A79"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C72784" w:rsidRPr="003B7A12" w14:paraId="4EFFA3A4" w14:textId="77777777" w:rsidTr="00E41D98">
        <w:tc>
          <w:tcPr>
            <w:tcW w:w="4675" w:type="dxa"/>
          </w:tcPr>
          <w:p w14:paraId="3A32D21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Jefatura de departamento</w:t>
            </w:r>
          </w:p>
        </w:tc>
        <w:tc>
          <w:tcPr>
            <w:tcW w:w="4675" w:type="dxa"/>
          </w:tcPr>
          <w:p w14:paraId="4AB2F8CD"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Subdirector de Área</w:t>
            </w:r>
          </w:p>
        </w:tc>
      </w:tr>
      <w:tr w:rsidR="00C72784" w:rsidRPr="003B7A12" w14:paraId="18A22D1F" w14:textId="77777777" w:rsidTr="00E41D98">
        <w:tc>
          <w:tcPr>
            <w:tcW w:w="4675" w:type="dxa"/>
          </w:tcPr>
          <w:p w14:paraId="4035BC3F" w14:textId="6EF73872" w:rsidR="00C72784" w:rsidRPr="003B7A12" w:rsidRDefault="000370F9" w:rsidP="003B7A12">
            <w:pPr>
              <w:spacing w:line="360" w:lineRule="auto"/>
              <w:jc w:val="center"/>
              <w:rPr>
                <w:rFonts w:ascii="Montserrat" w:hAnsi="Montserrat"/>
                <w:sz w:val="24"/>
                <w:szCs w:val="24"/>
              </w:rPr>
            </w:pPr>
            <w:r>
              <w:rPr>
                <w:rFonts w:ascii="Montserrat" w:hAnsi="Montserrat" w:cs="Noto Sans"/>
                <w:bCs/>
                <w:i/>
                <w:sz w:val="24"/>
                <w:szCs w:val="24"/>
              </w:rPr>
              <w:t>v</w:t>
            </w:r>
            <w:r w:rsidR="00055D65">
              <w:rPr>
                <w:rFonts w:ascii="Montserrat" w:hAnsi="Montserrat" w:cs="Noto Sans"/>
                <w:bCs/>
                <w:i/>
                <w:sz w:val="24"/>
                <w:szCs w:val="24"/>
              </w:rPr>
              <w:t>ictor.lelodelarrea</w:t>
            </w:r>
            <w:r w:rsidR="00C72784" w:rsidRPr="003B7A12">
              <w:rPr>
                <w:rFonts w:ascii="Montserrat" w:hAnsi="Montserrat" w:cs="Noto Sans"/>
                <w:bCs/>
                <w:i/>
                <w:sz w:val="24"/>
                <w:szCs w:val="24"/>
              </w:rPr>
              <w:t>@nube.sep.gob.mx</w:t>
            </w:r>
          </w:p>
        </w:tc>
        <w:tc>
          <w:tcPr>
            <w:tcW w:w="4675" w:type="dxa"/>
          </w:tcPr>
          <w:p w14:paraId="6883856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C72784" w:rsidRPr="003B7A12" w14:paraId="0E84DC51" w14:textId="77777777" w:rsidTr="00E41D98">
        <w:tc>
          <w:tcPr>
            <w:tcW w:w="4675" w:type="dxa"/>
          </w:tcPr>
          <w:p w14:paraId="20A9AA2C" w14:textId="77777777" w:rsidR="00C72784" w:rsidRPr="003B7A12" w:rsidRDefault="00C72784" w:rsidP="003B7A12">
            <w:pPr>
              <w:spacing w:line="360" w:lineRule="auto"/>
              <w:jc w:val="center"/>
              <w:rPr>
                <w:rFonts w:ascii="Montserrat" w:hAnsi="Montserrat"/>
                <w:sz w:val="24"/>
                <w:szCs w:val="24"/>
              </w:rPr>
            </w:pPr>
          </w:p>
        </w:tc>
        <w:tc>
          <w:tcPr>
            <w:tcW w:w="4675" w:type="dxa"/>
          </w:tcPr>
          <w:p w14:paraId="27F21E65"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C72784" w:rsidRPr="003B7A12" w14:paraId="7419E76D" w14:textId="77777777" w:rsidTr="00E41D98">
        <w:trPr>
          <w:trHeight w:val="382"/>
        </w:trPr>
        <w:tc>
          <w:tcPr>
            <w:tcW w:w="4675" w:type="dxa"/>
          </w:tcPr>
          <w:p w14:paraId="1A04B7D1"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420C7CBB"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8"/>
      <w:footerReference w:type="default" r:id="rId9"/>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91002" w14:textId="77777777" w:rsidR="00494B11" w:rsidRPr="003A5DB2" w:rsidRDefault="00494B11" w:rsidP="00997E2E">
      <w:r w:rsidRPr="003A5DB2">
        <w:separator/>
      </w:r>
    </w:p>
  </w:endnote>
  <w:endnote w:type="continuationSeparator" w:id="0">
    <w:p w14:paraId="5B076296" w14:textId="77777777" w:rsidR="00494B11" w:rsidRPr="003A5DB2" w:rsidRDefault="00494B11" w:rsidP="00997E2E">
      <w:r w:rsidRPr="003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3A5DB2" w:rsidRDefault="007B7E00" w:rsidP="007F0EDD">
    <w:pPr>
      <w:pStyle w:val="Encabezado"/>
      <w:ind w:right="474"/>
      <w:rPr>
        <w:rFonts w:ascii="Noto Sans" w:hAnsi="Noto Sans" w:cs="Noto Sans"/>
        <w:sz w:val="18"/>
        <w:szCs w:val="18"/>
      </w:rPr>
    </w:pPr>
    <w:bookmarkStart w:id="2" w:name="_Hlk195261366"/>
    <w:bookmarkStart w:id="3" w:name="_Hlk195261367"/>
    <w:r w:rsidRPr="003A5DB2">
      <w:rPr>
        <w:rFonts w:ascii="Noto Sans" w:hAnsi="Noto Sans" w:cs="Noto Sans"/>
        <w:sz w:val="18"/>
        <w:szCs w:val="18"/>
      </w:rPr>
      <w:t xml:space="preserve">Página </w:t>
    </w:r>
    <w:r w:rsidRPr="003A5DB2">
      <w:rPr>
        <w:rFonts w:ascii="Noto Sans" w:hAnsi="Noto Sans" w:cs="Noto Sans"/>
        <w:b/>
        <w:bCs/>
        <w:sz w:val="18"/>
        <w:szCs w:val="18"/>
      </w:rPr>
      <w:fldChar w:fldCharType="begin"/>
    </w:r>
    <w:r w:rsidRPr="003A5DB2">
      <w:rPr>
        <w:rFonts w:ascii="Noto Sans" w:hAnsi="Noto Sans" w:cs="Noto Sans"/>
        <w:b/>
        <w:bCs/>
        <w:sz w:val="18"/>
        <w:szCs w:val="18"/>
      </w:rPr>
      <w:instrText>PAGE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1</w:t>
    </w:r>
    <w:r w:rsidRPr="003A5DB2">
      <w:rPr>
        <w:rFonts w:ascii="Noto Sans" w:hAnsi="Noto Sans" w:cs="Noto Sans"/>
        <w:b/>
        <w:bCs/>
        <w:sz w:val="18"/>
        <w:szCs w:val="18"/>
      </w:rPr>
      <w:fldChar w:fldCharType="end"/>
    </w:r>
    <w:r w:rsidRPr="003A5DB2">
      <w:rPr>
        <w:rFonts w:ascii="Noto Sans" w:hAnsi="Noto Sans" w:cs="Noto Sans"/>
        <w:sz w:val="18"/>
        <w:szCs w:val="18"/>
      </w:rPr>
      <w:t xml:space="preserve"> de </w:t>
    </w:r>
    <w:r w:rsidRPr="003A5DB2">
      <w:rPr>
        <w:rFonts w:ascii="Noto Sans" w:hAnsi="Noto Sans" w:cs="Noto Sans"/>
        <w:b/>
        <w:bCs/>
        <w:sz w:val="18"/>
        <w:szCs w:val="18"/>
      </w:rPr>
      <w:fldChar w:fldCharType="begin"/>
    </w:r>
    <w:r w:rsidRPr="003A5DB2">
      <w:rPr>
        <w:rFonts w:ascii="Noto Sans" w:hAnsi="Noto Sans" w:cs="Noto Sans"/>
        <w:b/>
        <w:bCs/>
        <w:sz w:val="18"/>
        <w:szCs w:val="18"/>
      </w:rPr>
      <w:instrText>NUMPAGES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2</w:t>
    </w:r>
    <w:r w:rsidRPr="003A5DB2">
      <w:rPr>
        <w:rFonts w:ascii="Noto Sans" w:hAnsi="Noto Sans" w:cs="Noto Sans"/>
        <w:b/>
        <w:bCs/>
        <w:sz w:val="18"/>
        <w:szCs w:val="18"/>
      </w:rPr>
      <w:fldChar w:fldCharType="end"/>
    </w:r>
    <w:r w:rsidR="00997E2E" w:rsidRPr="003A5DB2">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3A5DB2" w:rsidRDefault="00997E2E" w:rsidP="00997E2E">
    <w:pPr>
      <w:pStyle w:val="Encabezado"/>
      <w:ind w:right="474"/>
      <w:jc w:val="right"/>
      <w:rPr>
        <w:rFonts w:ascii="Noto Sans" w:hAnsi="Noto Sans" w:cs="Noto Sans"/>
        <w:sz w:val="18"/>
        <w:szCs w:val="18"/>
      </w:rPr>
    </w:pPr>
  </w:p>
  <w:p w14:paraId="3D3E01B5" w14:textId="06503723"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Unidad de Administración y Finanzas</w:t>
    </w:r>
    <w:r w:rsidRPr="003A5DB2">
      <w:rPr>
        <w:rFonts w:ascii="Noto Sans" w:hAnsi="Noto Sans" w:cs="Noto Sans"/>
        <w:sz w:val="18"/>
        <w:szCs w:val="18"/>
      </w:rPr>
      <w:tab/>
    </w:r>
  </w:p>
  <w:p w14:paraId="0ED43F25" w14:textId="253CB4DD"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Dirección General de Tecnologías de</w:t>
    </w:r>
    <w:r w:rsidRPr="003A5DB2">
      <w:rPr>
        <w:rFonts w:ascii="Noto Sans" w:hAnsi="Noto Sans" w:cs="Noto Sans"/>
        <w:sz w:val="18"/>
        <w:szCs w:val="18"/>
      </w:rPr>
      <w:tab/>
      <w:t xml:space="preserve"> </w:t>
    </w:r>
  </w:p>
  <w:p w14:paraId="7F871F5E" w14:textId="224A0ED0"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la Información y Comunicaciones</w:t>
    </w:r>
    <w:r w:rsidRPr="003A5DB2">
      <w:rPr>
        <w:rFonts w:ascii="Noto Sans" w:hAnsi="Noto Sans" w:cs="Noto Sans"/>
        <w:sz w:val="18"/>
        <w:szCs w:val="18"/>
      </w:rPr>
      <w:tab/>
    </w:r>
  </w:p>
  <w:bookmarkEnd w:id="2"/>
  <w:bookmarkEnd w:id="3"/>
  <w:p w14:paraId="7DCB4A70" w14:textId="77777777" w:rsidR="00997E2E" w:rsidRPr="003A5DB2" w:rsidRDefault="00997E2E" w:rsidP="00997E2E">
    <w:pPr>
      <w:pStyle w:val="Encabezado"/>
      <w:ind w:right="474"/>
      <w:jc w:val="right"/>
    </w:pPr>
  </w:p>
  <w:p w14:paraId="370C7DA8" w14:textId="7BBD45B3" w:rsidR="00E42075" w:rsidRPr="003A5DB2"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17B24" w14:textId="77777777" w:rsidR="00494B11" w:rsidRPr="003A5DB2" w:rsidRDefault="00494B11" w:rsidP="00997E2E">
      <w:r w:rsidRPr="003A5DB2">
        <w:separator/>
      </w:r>
    </w:p>
  </w:footnote>
  <w:footnote w:type="continuationSeparator" w:id="0">
    <w:p w14:paraId="284193E9" w14:textId="77777777" w:rsidR="00494B11" w:rsidRPr="003A5DB2" w:rsidRDefault="00494B11" w:rsidP="00997E2E">
      <w:r w:rsidRPr="003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3A5DB2" w:rsidRDefault="00997E2E" w:rsidP="00997E2E">
    <w:pPr>
      <w:pStyle w:val="Encabezado"/>
    </w:pPr>
    <w:r w:rsidRPr="003A5DB2">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3A5DB2" w:rsidRDefault="00997E2E" w:rsidP="00997E2E">
    <w:pPr>
      <w:pStyle w:val="Encabezado"/>
      <w:jc w:val="right"/>
    </w:pPr>
    <w:r w:rsidRPr="003A5DB2">
      <w:t>Unidad de Administración y Finanzas</w:t>
    </w:r>
    <w:r w:rsidRPr="003A5DB2">
      <w:tab/>
    </w:r>
  </w:p>
  <w:p w14:paraId="7E408CE7" w14:textId="31431E63" w:rsidR="00997E2E" w:rsidRPr="003A5DB2" w:rsidRDefault="00997E2E" w:rsidP="00997E2E">
    <w:pPr>
      <w:pStyle w:val="Encabezado"/>
      <w:jc w:val="right"/>
    </w:pPr>
    <w:r w:rsidRPr="003A5DB2">
      <w:t>Dirección General de Tecnologías de</w:t>
    </w:r>
    <w:r w:rsidRPr="003A5DB2">
      <w:tab/>
      <w:t xml:space="preserve"> </w:t>
    </w:r>
  </w:p>
  <w:p w14:paraId="0D6A6991" w14:textId="76F185EB" w:rsidR="00997E2E" w:rsidRPr="003A5DB2" w:rsidRDefault="00997E2E" w:rsidP="00997E2E">
    <w:pPr>
      <w:pStyle w:val="Encabezado"/>
      <w:jc w:val="right"/>
    </w:pPr>
    <w:r w:rsidRPr="003A5DB2">
      <w:t>la Información y Comunicaciones</w:t>
    </w:r>
    <w:r w:rsidRPr="003A5DB2">
      <w:tab/>
    </w:r>
  </w:p>
  <w:p w14:paraId="466085AA" w14:textId="77777777" w:rsidR="00997E2E" w:rsidRPr="003A5DB2" w:rsidRDefault="00997E2E" w:rsidP="00997E2E">
    <w:pPr>
      <w:pStyle w:val="Encabezado"/>
    </w:pPr>
  </w:p>
  <w:p w14:paraId="57844811" w14:textId="77777777" w:rsidR="00997E2E" w:rsidRPr="003A5DB2"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03A5903"/>
    <w:multiLevelType w:val="multilevel"/>
    <w:tmpl w:val="2F96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AD2304"/>
    <w:multiLevelType w:val="multilevel"/>
    <w:tmpl w:val="118C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83134CA"/>
    <w:multiLevelType w:val="multilevel"/>
    <w:tmpl w:val="EC6A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271B00"/>
    <w:multiLevelType w:val="multilevel"/>
    <w:tmpl w:val="E912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F328E2"/>
    <w:multiLevelType w:val="multilevel"/>
    <w:tmpl w:val="4E16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84857"/>
    <w:multiLevelType w:val="multilevel"/>
    <w:tmpl w:val="E0B8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B2E0DED"/>
    <w:multiLevelType w:val="multilevel"/>
    <w:tmpl w:val="ECA6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0E2F67"/>
    <w:multiLevelType w:val="multilevel"/>
    <w:tmpl w:val="2388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60B13241"/>
    <w:multiLevelType w:val="multilevel"/>
    <w:tmpl w:val="531C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BF478F"/>
    <w:multiLevelType w:val="multilevel"/>
    <w:tmpl w:val="0212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8"/>
  </w:num>
  <w:num w:numId="8" w16cid:durableId="1187519976">
    <w:abstractNumId w:val="10"/>
  </w:num>
  <w:num w:numId="9" w16cid:durableId="774518276">
    <w:abstractNumId w:val="8"/>
  </w:num>
  <w:num w:numId="10" w16cid:durableId="2009867063">
    <w:abstractNumId w:val="15"/>
  </w:num>
  <w:num w:numId="11" w16cid:durableId="1924602666">
    <w:abstractNumId w:val="19"/>
  </w:num>
  <w:num w:numId="12" w16cid:durableId="2021344936">
    <w:abstractNumId w:val="2"/>
  </w:num>
  <w:num w:numId="13" w16cid:durableId="444275234">
    <w:abstractNumId w:val="17"/>
  </w:num>
  <w:num w:numId="14" w16cid:durableId="427772868">
    <w:abstractNumId w:val="16"/>
  </w:num>
  <w:num w:numId="15" w16cid:durableId="1906184732">
    <w:abstractNumId w:val="20"/>
  </w:num>
  <w:num w:numId="16" w16cid:durableId="1659112614">
    <w:abstractNumId w:val="9"/>
  </w:num>
  <w:num w:numId="17" w16cid:durableId="480465322">
    <w:abstractNumId w:val="21"/>
  </w:num>
  <w:num w:numId="18" w16cid:durableId="1064377388">
    <w:abstractNumId w:val="14"/>
  </w:num>
  <w:num w:numId="19" w16cid:durableId="1204488936">
    <w:abstractNumId w:val="7"/>
  </w:num>
  <w:num w:numId="20" w16cid:durableId="1463420815">
    <w:abstractNumId w:val="12"/>
  </w:num>
  <w:num w:numId="21" w16cid:durableId="1118909673">
    <w:abstractNumId w:val="11"/>
  </w:num>
  <w:num w:numId="22" w16cid:durableId="1713384254">
    <w:abstractNumId w:val="1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4616"/>
    <w:rsid w:val="000370F9"/>
    <w:rsid w:val="00055D65"/>
    <w:rsid w:val="00057AD0"/>
    <w:rsid w:val="0006063C"/>
    <w:rsid w:val="00083F2C"/>
    <w:rsid w:val="00084C49"/>
    <w:rsid w:val="00090885"/>
    <w:rsid w:val="000C6807"/>
    <w:rsid w:val="000E2A85"/>
    <w:rsid w:val="0011731C"/>
    <w:rsid w:val="001427DC"/>
    <w:rsid w:val="0015074B"/>
    <w:rsid w:val="00157EAF"/>
    <w:rsid w:val="00176EC1"/>
    <w:rsid w:val="001A3E81"/>
    <w:rsid w:val="001C128F"/>
    <w:rsid w:val="001E4A8B"/>
    <w:rsid w:val="001F6D0E"/>
    <w:rsid w:val="00204D8B"/>
    <w:rsid w:val="0021558B"/>
    <w:rsid w:val="00217143"/>
    <w:rsid w:val="00281FC3"/>
    <w:rsid w:val="00281FCA"/>
    <w:rsid w:val="0029639D"/>
    <w:rsid w:val="002B281F"/>
    <w:rsid w:val="002C3587"/>
    <w:rsid w:val="002C5C4E"/>
    <w:rsid w:val="003067C9"/>
    <w:rsid w:val="00310D52"/>
    <w:rsid w:val="00322ECA"/>
    <w:rsid w:val="0032551C"/>
    <w:rsid w:val="00326D19"/>
    <w:rsid w:val="00326F90"/>
    <w:rsid w:val="00364FFA"/>
    <w:rsid w:val="003900CC"/>
    <w:rsid w:val="0039521E"/>
    <w:rsid w:val="003A3A97"/>
    <w:rsid w:val="003A5DB2"/>
    <w:rsid w:val="003B5DF2"/>
    <w:rsid w:val="003B7A12"/>
    <w:rsid w:val="003C7FA1"/>
    <w:rsid w:val="003F7817"/>
    <w:rsid w:val="004249D0"/>
    <w:rsid w:val="00440931"/>
    <w:rsid w:val="0045232B"/>
    <w:rsid w:val="00460181"/>
    <w:rsid w:val="00477234"/>
    <w:rsid w:val="00490C87"/>
    <w:rsid w:val="0049360B"/>
    <w:rsid w:val="00494B11"/>
    <w:rsid w:val="004A577B"/>
    <w:rsid w:val="004D2F30"/>
    <w:rsid w:val="004D6556"/>
    <w:rsid w:val="004F6419"/>
    <w:rsid w:val="005014CD"/>
    <w:rsid w:val="00517CFC"/>
    <w:rsid w:val="00547C5E"/>
    <w:rsid w:val="00555191"/>
    <w:rsid w:val="0057038B"/>
    <w:rsid w:val="005F77E9"/>
    <w:rsid w:val="00606958"/>
    <w:rsid w:val="00614DF1"/>
    <w:rsid w:val="00643CB0"/>
    <w:rsid w:val="0065130E"/>
    <w:rsid w:val="006608CE"/>
    <w:rsid w:val="006942DE"/>
    <w:rsid w:val="006B5472"/>
    <w:rsid w:val="007138C2"/>
    <w:rsid w:val="00714169"/>
    <w:rsid w:val="00762984"/>
    <w:rsid w:val="007B7E00"/>
    <w:rsid w:val="007C3C28"/>
    <w:rsid w:val="007C519E"/>
    <w:rsid w:val="007C6CE5"/>
    <w:rsid w:val="007D3EBE"/>
    <w:rsid w:val="007D76F8"/>
    <w:rsid w:val="007F0EDD"/>
    <w:rsid w:val="007F53AE"/>
    <w:rsid w:val="00802FD5"/>
    <w:rsid w:val="00815657"/>
    <w:rsid w:val="008170A1"/>
    <w:rsid w:val="0085498B"/>
    <w:rsid w:val="00863E93"/>
    <w:rsid w:val="008916FA"/>
    <w:rsid w:val="0090295F"/>
    <w:rsid w:val="00907CAD"/>
    <w:rsid w:val="00941C93"/>
    <w:rsid w:val="00977E0D"/>
    <w:rsid w:val="0098514F"/>
    <w:rsid w:val="009915B2"/>
    <w:rsid w:val="00997E2E"/>
    <w:rsid w:val="009A0624"/>
    <w:rsid w:val="009B4888"/>
    <w:rsid w:val="00A149CB"/>
    <w:rsid w:val="00A276F6"/>
    <w:rsid w:val="00A96A40"/>
    <w:rsid w:val="00AA1D8D"/>
    <w:rsid w:val="00AC51FC"/>
    <w:rsid w:val="00AD19C4"/>
    <w:rsid w:val="00B22A1A"/>
    <w:rsid w:val="00B22EB7"/>
    <w:rsid w:val="00B47730"/>
    <w:rsid w:val="00B54250"/>
    <w:rsid w:val="00B614EE"/>
    <w:rsid w:val="00B72F19"/>
    <w:rsid w:val="00B94D44"/>
    <w:rsid w:val="00BF1A0A"/>
    <w:rsid w:val="00C023B4"/>
    <w:rsid w:val="00C52C1F"/>
    <w:rsid w:val="00C5797C"/>
    <w:rsid w:val="00C663DF"/>
    <w:rsid w:val="00C72784"/>
    <w:rsid w:val="00CB0664"/>
    <w:rsid w:val="00CE3CE1"/>
    <w:rsid w:val="00CF5767"/>
    <w:rsid w:val="00D27B0B"/>
    <w:rsid w:val="00D3559E"/>
    <w:rsid w:val="00D94679"/>
    <w:rsid w:val="00DD799D"/>
    <w:rsid w:val="00E42075"/>
    <w:rsid w:val="00E60372"/>
    <w:rsid w:val="00E71416"/>
    <w:rsid w:val="00EA0966"/>
    <w:rsid w:val="00EC77A7"/>
    <w:rsid w:val="00EE6865"/>
    <w:rsid w:val="00EE6F82"/>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B22A1A"/>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B22A1A"/>
    <w:rPr>
      <w:rFonts w:ascii="Consolas" w:hAnsi="Consolas" w:cs="Courier New"/>
      <w:sz w:val="20"/>
      <w:szCs w:val="20"/>
      <w:shd w:val="clear" w:color="auto" w:fill="F4F4F4"/>
      <w:lang w:val="es-MX" w:eastAsia="es-MX"/>
    </w:rPr>
  </w:style>
  <w:style w:type="paragraph" w:styleId="NormalWeb">
    <w:name w:val="Normal (Web)"/>
    <w:basedOn w:val="Normal"/>
    <w:uiPriority w:val="99"/>
    <w:semiHidden/>
    <w:unhideWhenUsed/>
    <w:rsid w:val="00B22A1A"/>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B22A1A"/>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1729</Words>
  <Characters>9510</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11217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17</cp:revision>
  <cp:lastPrinted>2026-01-20T21:57:00Z</cp:lastPrinted>
  <dcterms:created xsi:type="dcterms:W3CDTF">2026-01-19T19:50:00Z</dcterms:created>
  <dcterms:modified xsi:type="dcterms:W3CDTF">2026-06-01T23:05:00Z</dcterms:modified>
  <cp:category/>
</cp:coreProperties>
</file>