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Entregable 3. Matriz de Validaciones del Proceso MUSEMS</w:t>
      </w:r>
    </w:p>
    <w:p/>
    <w:p>
      <w:pPr>
        <w:pStyle w:val="Heading2"/>
      </w:pPr>
      <w:r>
        <w:t>1. Introducción</w:t>
      </w:r>
    </w:p>
    <w:p>
      <w:r>
        <w:t>Este entregable consolida las validaciones funcionales y de calidad de datos que gobiernan el flujo de MUSEMS. Cada regla incluye objetivo, contexto, tablas y columnas auditadas (según el diccionario de datos), requerimientos cubiertos y artefactos asociados (scripts SQL y bitácoras).</w:t>
      </w:r>
    </w:p>
    <w:p/>
    <w:p>
      <w:pPr>
        <w:pStyle w:val="Heading2"/>
      </w:pPr>
      <w:r>
        <w:t>2. Tabla Maestra de Validaciones</w:t>
      </w:r>
    </w:p>
    <w:p>
      <w:r>
        <w:t>| ID | Objetivo | Tablas/Columnas inspeccionadas | Reglas de negocio y requerimientos | Severidad | Script |</w:t>
      </w:r>
    </w:p>
    <w:p>
      <w:r>
        <w:t>|----|----------|--------------------------------|------------------------------------|-----------|--------|</w:t>
      </w:r>
    </w:p>
    <w:p>
      <w:r>
        <w:t>| VAL-01 | Validar integridad y formato de CURP previo a insertar en `tbmu006_inscripcion`. | `tbae001_inscripcion.curp_actual`, `ctmu003_sexo.clave`, `ctmu013_entidad_federativa.clave`, `tbmu005_curp_historica.curp`. | - Regex oficial `^[A-Z]{4}[0-9]{6}[HM][A-Z]{5}[0-9]{2}$`.&lt;br&gt;- Sexo y entidad deben existir y estar activos (RF-008).&lt;br&gt;- Registrar motivo en `tbae010_error`. | Alta | `scripts/validaciones_musems/val_01_curp_formato.sql` |</w:t>
      </w:r>
    </w:p>
    <w:p>
      <w:r>
        <w:t>| VAL-02 | Asegurar unicidad matrícula+CURP entre staging y núcleo. | `tbae001_inscripcion.matricula_alumno`, `tbmu006_inscripcion.id_alumno`, `tbmu002_persona.curp`. | - No puede haber dos registros activos con misma combinación (RF-004, RF-010, RF-011).&lt;br&gt;- Rechazar duplicados con motivo `DPL_CURP`. | Alta | `.../val_02_matricula_unica.sql` |</w:t>
      </w:r>
    </w:p>
    <w:p>
      <w:r>
        <w:t>| VAL-03 | Confirmar existencia y vigencia del programa académico asociado al CCT. | `tbae001_inscripcion.cct`, `tbae001_inscripcion.cve_programa_academico`, `tbmu007_programa_academico.cve_programa_academico`, `tbmu009_programa_institucion.id_programa_institucion`. | - Longitud CCT 9-10.&lt;br&gt;- Programa debe estar activo y ligado a institución (RF-009, RF-011).&lt;br&gt;- Registrar causa `PROGRAMA_NO_ENCONTRADO`. | Alta | `.../val_03_cct_programa.sql` |</w:t>
      </w:r>
    </w:p>
    <w:p>
      <w:r>
        <w:t>| VAL-04 | Validar folio y promedio de certificado de procedencia. | `tbae001_inscripcion.folio_certificado`, `tbae001_inscripcion.promedio_certificado`, `tbae001_inscripcion.cct_procedencia`, catálogos `ctmu028_tipo_documento`. | - Si existe folio, promedio debe ser numérico entre 6 y 10 (dos decimales).&lt;br&gt;- CCT de procedencia obligatorio y activo (RF-007). | Media | `.../val_04_certificados_origen.sql` |</w:t>
      </w:r>
    </w:p>
    <w:p>
      <w:r>
        <w:t>| VAL-05 | Verificar que los turnos asignados existan y estén activos. | `tbmu006_inscripcion.id_turno`, `ctmu031_turno.descripcion`, `ctmu001_tipo_periodo.id_tipo_periodo`. | - Turno obligatorio, activo y alineado al periodo (RF-011).&lt;br&gt;- Marcar `TURNO_INACTIVO` o `PERIODO_NO_ACTIVO`. | Media | `.../val_05_turnos_validos.sql` |</w:t>
      </w:r>
    </w:p>
    <w:p>
      <w:r>
        <w:t>| VAL-06 | Bloquear reinscripciones con baja definitiva sin reactivación. | `tbae001_inscripcion.matricula_alumno`, `tbae002_bajas.tipo_baja`, `tbmu013_bajas.tipo_baja`. | - Si existe baja definitiva vigente (sin reactivación), inscripción debe quedar rechazada (RF-005). | Alta | `.../val_06_bajas_vs_inscripciones.sql` |</w:t>
      </w:r>
    </w:p>
    <w:p>
      <w:r>
        <w:t>| VAL-07 | Revisar asistencias y asignaturas contra catálogos vigentes. | `tbae005_asistencias.fecha_asistencia`, `tbae005_asistencias.cve_asignatura`, `tbmu010_asignaturas.cve_asignatura`, `ctmu022_ciclo_escolar`. | - Fechas dentro del ciclo activo (26-AGO-2025 / 15-JUL-2026).&lt;br&gt;- Asignatura existente y activa (RF-006). | Media | `.../val_07_asistencias.sql` |</w:t>
      </w:r>
    </w:p>
    <w:p>
      <w:r>
        <w:t>| VAL-08 | Garantizar que registros listos fueron notificados a SIGED. | `tbmu006_inscripcion.id_estatus_inscripcion`, `tbmu006_inscripcion.notificado_siged`, `ctmu014_estatus_inscripcion.descripcion`. | - Registros con estatus "validado"/"listo" deben tener `notificado_siged=true` &lt; 24h (RF-013, RF-014). | Alta | `.../val_08_notificacion_siged.sql` |</w:t>
      </w:r>
    </w:p>
    <w:p/>
    <w:p>
      <w:pPr>
        <w:pStyle w:val="Heading2"/>
      </w:pPr>
      <w:r>
        <w:t>3. Catálogos y Columnas Clave</w:t>
      </w:r>
    </w:p>
    <w:p>
      <w:pPr>
        <w:pStyle w:val="ListBullet"/>
      </w:pPr>
      <w:r>
        <w:t>**`tbae001_inscripcion`** (staging): contiene `uuid`, `id_operacion_origen`, `id_subsistema`, `curp_actual`, `cct`, `folio_certificado`, `promedio_certificado`, etc., que alimentan VAL-01–VAL-04.</w:t>
      </w:r>
    </w:p>
    <w:p>
      <w:pPr>
        <w:pStyle w:val="ListBullet"/>
      </w:pPr>
      <w:r>
        <w:t>**`tbmu006_inscripcion`** (núcleo): concentra `id_inscripcion`, `id_alumno`, `id_programa_institucion`, `id_turno`, `notificado_siged`, `id_estatus_inscripcion`; fuente para VAL-02, VAL-05 y VAL-08.</w:t>
      </w:r>
    </w:p>
    <w:p>
      <w:pPr>
        <w:pStyle w:val="ListBullet"/>
      </w:pPr>
      <w:r>
        <w:t>**Catálogos `ctmu*`**: tipos de periodo, sexo, entidad federativa, turnos, estatus de inscripción; todos mantienen `activo` y marcas de tiempo para validar vigencias.</w:t>
      </w:r>
    </w:p>
    <w:p>
      <w:pPr>
        <w:pStyle w:val="ListBullet"/>
      </w:pPr>
      <w:r>
        <w:t>**Tablas de error y trazabilidad**: `tbae009_respuesta` y `tbae010_error` registran la salida de cada validación con `id_motivo_error` enlazado a `ctmu008_motivo_error`.</w:t>
      </w:r>
    </w:p>
    <w:p/>
    <w:p>
      <w:pPr>
        <w:pStyle w:val="Heading2"/>
      </w:pPr>
      <w:r>
        <w:t>4. Trazabilidad con Requerimientos</w:t>
      </w:r>
    </w:p>
    <w:p>
      <w:r>
        <w:t>| Validación | Requerimientos cubiertos | Casos de prueba asociados |</w:t>
      </w:r>
    </w:p>
    <w:p>
      <w:r>
        <w:t>|------------|-------------------------|---------------------------|</w:t>
      </w:r>
    </w:p>
    <w:p>
      <w:r>
        <w:t>| VAL-01 | RF-004, RF-007, RF-008 | CP-008, CP-009, CP-013, CP-014 |</w:t>
      </w:r>
    </w:p>
    <w:p>
      <w:r>
        <w:t>| VAL-02 | RF-004, RF-010, RF-011 | CP-008, CP-017, CP-018 |</w:t>
      </w:r>
    </w:p>
    <w:p>
      <w:r>
        <w:t>| VAL-03 | RF-009, RF-011 | CP-015, CP-016 |</w:t>
      </w:r>
    </w:p>
    <w:p>
      <w:r>
        <w:t>| VAL-04 | RF-007 | CP-012 |</w:t>
      </w:r>
    </w:p>
    <w:p>
      <w:r>
        <w:t>| VAL-05 | RF-011 | CP-018 |</w:t>
      </w:r>
    </w:p>
    <w:p>
      <w:r>
        <w:t>| VAL-06 | RF-005 | CP-010 |</w:t>
      </w:r>
    </w:p>
    <w:p>
      <w:r>
        <w:t>| VAL-07 | RF-006 | CP-011 |</w:t>
      </w:r>
    </w:p>
    <w:p>
      <w:r>
        <w:t>| VAL-08 | RF-012, RF-013, RF-014 | CP-020, CP-022, CP-023 |</w:t>
      </w:r>
    </w:p>
    <w:p/>
    <w:p>
      <w:pPr>
        <w:pStyle w:val="Heading2"/>
      </w:pPr>
      <w:r>
        <w:t>5. Gestión y Mantenimiento</w:t>
      </w:r>
    </w:p>
    <w:p>
      <w:pPr>
        <w:pStyle w:val="ListBullet"/>
      </w:pPr>
      <w:r>
        <w:t>Cada script tiene versión y hash registrado en la bitácora; cualquier cambio requiere revisión del comité QA + Control Escolar.</w:t>
      </w:r>
    </w:p>
    <w:p>
      <w:pPr>
        <w:pStyle w:val="ListBullet"/>
      </w:pPr>
      <w:r>
        <w:t>Las validaciones de severidad Alta deben ejecutarse en cada lote y antes de promover datos a producción; las de severidad Media se ejecutan por lote o al cierre semanal.</w:t>
      </w:r>
    </w:p>
    <w:p>
      <w:pPr>
        <w:pStyle w:val="ListBullet"/>
      </w:pPr>
      <w:r>
        <w:t>Nuevas reglas siguen el flujo: definición → prototipo SQL → revisión técnica → actualización de matriz con objetivo, tablas, requerimientos y severidad → comunicación en la minuta semanal con responsables.</w:t>
      </w:r>
    </w:p>
    <w:p/>
    <w:p>
      <w:pPr>
        <w:pStyle w:val="Heading2"/>
      </w:pPr>
      <w:r>
        <w:t>6. Conclusión</w:t>
      </w:r>
    </w:p>
    <w:p>
      <w:r>
        <w:t>La matriz ofrece una visión completa de las salvaguardas activas: qué protegen, dónde operan, qué requerimientos cubren y qué evidencia generan. Su mantenimiento disciplinado garantiza coherencia entre datos, procesos y documentación y facilita auditorías internas o externas.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