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Entregable 6. Evidencias de Resultados de Scripts y Validaciones MUSEMS</w:t>
      </w:r>
    </w:p>
    <w:p/>
    <w:p>
      <w:pPr>
        <w:pStyle w:val="Heading2"/>
      </w:pPr>
      <w:r>
        <w:t>1. Introducción</w:t>
      </w:r>
    </w:p>
    <w:p>
      <w:r>
        <w:t>Tras ejecutar los scripts VAL-01 a VAL-08 (ver Entregable 5) se consolidaron los resultados para medir impacto en el padrón, acciones tomadas y próximos pasos. Este documento almacena los indicadores clave, interpretaciones y recomendaciones sin depender de otras fuentes.</w:t>
      </w:r>
    </w:p>
    <w:p/>
    <w:p>
      <w:pPr>
        <w:pStyle w:val="Heading2"/>
      </w:pPr>
      <w:r>
        <w:t>2. Resultados Consolidados por Validación</w:t>
      </w:r>
    </w:p>
    <w:p>
      <w:r>
        <w:t>| Validación | Registros evaluados | Incidencias | % Incidencia | Principales causas | Acción aplicada |</w:t>
      </w:r>
    </w:p>
    <w:p>
      <w:r>
        <w:t>|------------|---------------------|-------------|--------------|--------------------|-----------------|</w:t>
      </w:r>
    </w:p>
    <w:p>
      <w:r>
        <w:t>| VAL-01 | 39,425 | 35 | 0.09 % | CURP mal formadas o con entidad/sexo fuera de catálogo. | Recarga parcial del lote + reforzamiento de captura. |</w:t>
      </w:r>
    </w:p>
    <w:p>
      <w:r>
        <w:t>| VAL-02 | 39,425 | 12 | 0.03 % | Duplicados matrícula+CURP por traslados. | Bloqueo en `tbmu006_inscripcion` y documentación `DPL_CURP`. |</w:t>
      </w:r>
    </w:p>
    <w:p>
      <w:r>
        <w:t>| VAL-03 | 21,180 | 4 | 0.02 % | CCT sin programa activo. | Actualización de catálogo y revalidación manual. |</w:t>
      </w:r>
    </w:p>
    <w:p>
      <w:r>
        <w:t>| VAL-04 | 21,180 | 57 | 0.27 % | Promedio no numérico o fuera de rango; falta de CCT procedencia. | Normalización automática + guía de captura. |</w:t>
      </w:r>
    </w:p>
    <w:p>
      <w:r>
        <w:t>| VAL-05 | 21,180 | 0 | 0 % | — | Sin acción. |</w:t>
      </w:r>
    </w:p>
    <w:p>
      <w:r>
        <w:t>| VAL-06 | 25,012 | 8 | 0.03 % | Reinscripciones con baja definitiva sin reactivación. | Bloqueo hasta dictamen de control escolar. |</w:t>
      </w:r>
    </w:p>
    <w:p>
      <w:r>
        <w:t>| VAL-07 | 11,903 | 2 | 0.02 % | Fechas de asistencia fuera de ciclo. | Ajuste de calendario en origen. |</w:t>
      </w:r>
    </w:p>
    <w:p>
      <w:r>
        <w:t>| VAL-08 | 25,012 | 0 | 0 % | — | Confirmación de notificación SIGED (&lt; 24 h). |</w:t>
      </w:r>
    </w:p>
    <w:p/>
    <w:p>
      <w:pPr>
        <w:pStyle w:val="Heading2"/>
      </w:pPr>
      <w:r>
        <w:t>3. Interpretación Analítica</w:t>
      </w:r>
    </w:p>
    <w:p>
      <w:pPr>
        <w:pStyle w:val="ListBullet"/>
      </w:pPr>
      <w:r>
        <w:t>**Control estadístico:** todas las tasas permanecen por debajo del umbral interno (0.3 %). La mayor concentración (VAL-04) confirma que la captura manual es el área a reforzar.</w:t>
      </w:r>
    </w:p>
    <w:p>
      <w:pPr>
        <w:pStyle w:val="ListBullet"/>
      </w:pPr>
      <w:r>
        <w:t>**Efectividad del pipeline:** los hallazgos en VAL-01/VAL-02/VAL-06 se corrigieron antes de promover datos; no se detectaron bloqueos críticos al cierre.</w:t>
      </w:r>
    </w:p>
    <w:p>
      <w:pPr>
        <w:pStyle w:val="ListBullet"/>
      </w:pPr>
      <w:r>
        <w:t>**Observabilidad:** los tableros mostraron `queue_messages_ready=0` posterior a cada corrida y latencia p95 del Gateway &lt; 3 s, indicando que las validaciones no generaron cuellos de botella.</w:t>
      </w:r>
    </w:p>
    <w:p/>
    <w:p>
      <w:pPr>
        <w:pStyle w:val="Heading2"/>
      </w:pPr>
      <w:r>
        <w:t>4. Evidencias Consolidadas</w:t>
      </w:r>
    </w:p>
    <w:p>
      <w:pPr>
        <w:pStyle w:val="ListBullet"/>
      </w:pPr>
      <w:r>
        <w:t>**CSV firmados:** cada validación dispone de archivos `evidencias/&lt;lote&gt;/&lt;validacion&gt;.csv` con hash y firma digital.</w:t>
      </w:r>
    </w:p>
    <w:p>
      <w:pPr>
        <w:pStyle w:val="ListBullet"/>
      </w:pPr>
      <w:r>
        <w:t>**Dashboards y trazas:** se guardaron capturas (`dashboard_VALXX.png`) que muestran métricas Prometheus y trazas Jaeger por lote, evidenciando la hora de ejecución y duración.</w:t>
      </w:r>
    </w:p>
    <w:p>
      <w:pPr>
        <w:pStyle w:val="ListBullet"/>
      </w:pPr>
      <w:r>
        <w:t>**Acuses SIGED:** para VAL-08 se archivaron PDFs con el acuse de recepción emitido por el servicio oficial.</w:t>
      </w:r>
    </w:p>
    <w:p/>
    <w:p>
      <w:pPr>
        <w:pStyle w:val="Heading2"/>
      </w:pPr>
      <w:r>
        <w:t>5. Impacto Operativo</w:t>
      </w:r>
    </w:p>
    <w:p>
      <w:pPr>
        <w:pStyle w:val="ListBullet"/>
      </w:pPr>
      <w:r>
        <w:t>El 92 % de las incidencias se resolvió en menos de 24 h; el 8 % restante depende de dictámenes de control escolar pero cuenta con plan de seguimiento.</w:t>
      </w:r>
    </w:p>
    <w:p>
      <w:pPr>
        <w:pStyle w:val="ListBullet"/>
      </w:pPr>
      <w:r>
        <w:t>La confiabilidad del padrón quedó dentro de los criterios de aceptación y permitió liberar el corte mensual a SIGED sin observaciones.</w:t>
      </w:r>
    </w:p>
    <w:p>
      <w:pPr>
        <w:pStyle w:val="ListBullet"/>
      </w:pPr>
      <w:r>
        <w:t>Se detectaron tres oportunidades de mejora continua: automatizar lectura de certificados, prevenir reinscripciones con baja activa y enviar alertas proactivas cuando los catálogos se desincronizan.</w:t>
      </w:r>
    </w:p>
    <w:p/>
    <w:p>
      <w:pPr>
        <w:pStyle w:val="Heading2"/>
      </w:pPr>
      <w:r>
        <w:t>6. Recomendaciones Prioritarias</w:t>
      </w:r>
    </w:p>
    <w:p>
      <w:pPr>
        <w:pStyle w:val="ListNumber"/>
      </w:pPr>
      <w:r>
        <w:t>**Automatización de certificados:** integrar un servicio que valide folios y promedios contra fuentes oficiales para reducir el 0.27 % de incidencias en VAL-04.</w:t>
      </w:r>
    </w:p>
    <w:p>
      <w:pPr>
        <w:pStyle w:val="ListNumber"/>
      </w:pPr>
      <w:r>
        <w:t>**Alertas tempranas de bajas:** agregar hook previo a la captura que consulte `tbae002_bajas` y alerte al subsistema antes de enviar el lote (previniendo VAL-06).</w:t>
      </w:r>
    </w:p>
    <w:p>
      <w:pPr>
        <w:pStyle w:val="ListNumber"/>
      </w:pPr>
      <w:r>
        <w:t>**Regresión automatizada:** incorporar VAL-01 y VAL-02 como jobs nocturnos en la tubería CI/CD para detectar desviaciones en menos de 2 h.</w:t>
      </w:r>
    </w:p>
    <w:p/>
    <w:p>
      <w:pPr>
        <w:pStyle w:val="Heading2"/>
      </w:pPr>
      <w:r>
        <w:t>7. Próximos Pasos</w:t>
      </w:r>
    </w:p>
    <w:p>
      <w:pPr>
        <w:pStyle w:val="ListBullet"/>
      </w:pPr>
      <w:r>
        <w:t>Actualizar la matriz de validaciones a la versión 1.1 incorporando nuevas reglas solicitadas por control escolar.</w:t>
      </w:r>
    </w:p>
    <w:p>
      <w:pPr>
        <w:pStyle w:val="ListBullet"/>
      </w:pPr>
      <w:r>
        <w:t>Migrar scripts y jobs a pre-productivo y ejecutar pruebas de regresión completas en enero 2026.</w:t>
      </w:r>
    </w:p>
    <w:p>
      <w:pPr>
        <w:pStyle w:val="ListBullet"/>
      </w:pPr>
      <w:r>
        <w:t>Elaborar un playbook operacional para soporte, describiendo cómo interpretar los CSV, dashboards y acuses.</w:t>
      </w:r>
    </w:p>
    <w:p/>
    <w:p>
      <w:pPr>
        <w:pStyle w:val="Heading2"/>
      </w:pPr>
      <w:r>
        <w:t>8. Conclusión</w:t>
      </w:r>
    </w:p>
    <w:p>
      <w:r>
        <w:t>Los resultados consolidan la efectividad de las validaciones: se cuenta con métricas, evidencia y planes de mejora que permiten mantener el padrón bajo control. La trazabilidad extrema (CSV + logs + acuses) habilita auditorías internas o externas sin depender de información adicional.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