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ПРИЛОЖЕНИЕ №1</w:t>
      </w:r>
    </w:p>
    <w:p>
      <w:pPr>
        <w:pStyle w:val="Heading1"/>
      </w:pPr>
      <w:r>
        <w:t>ТЕХНИЧЕСКОЕ ЗАДАНИЕ</w:t>
      </w:r>
    </w:p>
    <w:p>
      <w:r>
        <w:t>на разработку программного обеспечения</w:t>
        <w:br/>
      </w:r>
    </w:p>
    <w:p>
      <w:pPr>
        <w:pStyle w:val="Heading2"/>
      </w:pPr>
      <w:r>
        <w:t>1. Общие сведения</w:t>
      </w:r>
    </w:p>
    <w:p>
      <w:r>
        <w:t>1.1. Наименование проекта: «Система складских услуг и Личный кабинет клиентов (WMS/WRS)».</w:t>
      </w:r>
    </w:p>
    <w:p>
      <w:r>
        <w:t>1.2. Цель проекта: автоматизация полного цикла складских процессов, управление заявками и операциями, предоставление клиентам онлайн-доступа к данным, документам и финансовым расчётам, включая учёт маркировки товаров в системе «Честный знак».</w:t>
      </w:r>
    </w:p>
    <w:p>
      <w:r>
        <w:t>1.3. Технологический стек: Backend — Django (Python); База данных — PostgreSQL; Интеграции — REST/HTTP API.</w:t>
      </w:r>
    </w:p>
    <w:p>
      <w:r>
        <w:t>1.4. Термины и сокращения: WMS — управление складом; WRS — управление заявками и процессами; SKU — товарная позиция; КМ — код маркировки; ЛК — личный кабинет клиента.</w:t>
      </w:r>
    </w:p>
    <w:p>
      <w:pPr>
        <w:pStyle w:val="Heading2"/>
      </w:pPr>
      <w:r>
        <w:t>2. Этапы и сроки выполнения работ</w:t>
      </w:r>
    </w:p>
    <w:p>
      <w:r>
        <w:t>2.1. Работы выполняются с даты подписания Договора в следующие сроки:</w:t>
      </w:r>
    </w:p>
    <w:p>
      <w:r>
        <w:t>2.1.1. Этапы 1–2 (Аналитика и проектирование) — 5 рабочих дней.</w:t>
      </w:r>
    </w:p>
    <w:p>
      <w:r>
        <w:t>2.1.2. Этап 3 (Реализация ядра системы) — 10 рабочих дней.</w:t>
      </w:r>
    </w:p>
    <w:p>
      <w:r>
        <w:t>2.1.3. Этап 4 (Интеграции и «Честный знак») — 5 рабочих дней.</w:t>
      </w:r>
    </w:p>
    <w:p>
      <w:r>
        <w:t>2.1.4. Этап 5 (Миграция данных и пилотная эксплуатация) — 5 рабочих дней.</w:t>
      </w:r>
    </w:p>
    <w:p>
      <w:r>
        <w:t>2.2. Общий срок выполнения работ — 25 рабочих дней.</w:t>
      </w:r>
    </w:p>
    <w:p>
      <w:pPr>
        <w:pStyle w:val="Heading2"/>
      </w:pPr>
      <w:r>
        <w:t>3. Функциональные требования</w:t>
      </w:r>
    </w:p>
    <w:p>
      <w:pPr>
        <w:pStyle w:val="Heading3"/>
      </w:pPr>
      <w:r>
        <w:t>3.1. Складские операции (WMS)</w:t>
      </w:r>
    </w:p>
    <w:p>
      <w:r>
        <w:t>Система должна обеспечивать приёмку, хранение, учёт остатков и движений товаров, отбор, упаковку, отгрузку, возвраты и инвентаризацию товаров по утверждённому регламенту Заказчика.</w:t>
      </w:r>
    </w:p>
    <w:p>
      <w:pPr>
        <w:pStyle w:val="Heading3"/>
      </w:pPr>
      <w:r>
        <w:t>3.2. Управление заявками и процессами (WRS)</w:t>
      </w:r>
    </w:p>
    <w:p>
      <w:r>
        <w:t>Система должна обеспечивать создание заявок на приёмку, обработку, отгрузку и прочие услуги, управление статусами, ведение истории изменений, а также связь заявок со складскими и финансовыми операциями.</w:t>
      </w:r>
    </w:p>
    <w:p>
      <w:pPr>
        <w:pStyle w:val="Heading2"/>
      </w:pPr>
      <w:r>
        <w:t>4. Личный кабинет клиента (ЛК)</w:t>
      </w:r>
    </w:p>
    <w:p>
      <w:pPr>
        <w:pStyle w:val="Heading3"/>
      </w:pPr>
      <w:r>
        <w:t>4.1. Общие правила для всех форм</w:t>
      </w:r>
    </w:p>
    <w:p>
      <w:r>
        <w:t>Все формы Личного кабинета должны содержать кнопки: «Сохранить черновик» (опционально), «Создать/Отправить», «Отмена». После создания заявки системе присваивается номер и устанавливается статус «Создана». Любое изменение заявки или карточки фиксируется в истории изменений (кто, когда, что изменил).</w:t>
      </w:r>
    </w:p>
    <w:p>
      <w:r>
        <w:t>Система должна обеспечивать загрузку файлов форматов PDF, JPG, PNG, XLSX, DOCX. Ограничения по размеру файлов определяются регламентом Заказчика.</w:t>
      </w:r>
    </w:p>
    <w:p>
      <w:pPr>
        <w:pStyle w:val="Heading3"/>
      </w:pPr>
      <w:r>
        <w:t>4.2. Раздел «Заявки»</w:t>
      </w:r>
    </w:p>
    <w:p>
      <w:pPr>
        <w:pStyle w:val="Heading4"/>
      </w:pPr>
      <w:r>
        <w:t>4.2.1. Общий экран создания заявок</w:t>
      </w:r>
    </w:p>
    <w:p>
      <w:r>
        <w:t>Пользователь должен иметь возможность выбрать тип заявки: приёмка, обработка, отгрузка, прочее. После выбора типа открывается соответствующая форма создания заявки.</w:t>
      </w:r>
    </w:p>
    <w:p>
      <w:pPr>
        <w:pStyle w:val="Heading4"/>
      </w:pPr>
      <w:r>
        <w:t>4.2.2. Заявка на приёмку</w:t>
      </w:r>
    </w:p>
    <w:p>
      <w:r>
        <w:t>Форма создания заявки на приёмку должна обеспечивать указание плановой даты и времени прибытия, состава поставки (SKU, количество), ожидаемого количества коробов, загрузку документов и комментарии.</w:t>
      </w:r>
    </w:p>
    <w:p>
      <w:r>
        <w:t>Обязательные правила: невозможно отправить заявку без хотя бы одной позиции; если SKU не найден, клиент должен предварительно создать SKU в разделе «Номенклатура»; после статуса «Принята в работу» изменение состава заявки запрещено.</w:t>
      </w:r>
    </w:p>
    <w:p>
      <w:r>
        <w:t>После выполнения заявки в карточке отображаются таблица «План/Факт/Отклонение», список коробов и акт расхождений (при наличии).</w:t>
      </w:r>
    </w:p>
    <w:p>
      <w:pPr>
        <w:pStyle w:val="Heading4"/>
      </w:pPr>
      <w:r>
        <w:t>4.2.3. Заявка на обработку</w:t>
      </w:r>
    </w:p>
    <w:p>
      <w:r>
        <w:t>Форма заявки на обработку должна обеспечивать выбор типа обработки из справочника услуг, указание состава обработки (SKU, количество, номер короба при необходимости), загрузку ТЗ/макетов и комментарии.</w:t>
      </w:r>
    </w:p>
    <w:p>
      <w:r>
        <w:t>Заявка не может быть создана при отсутствии остатков по выбранному SKU, если обработка выполняется из текущих остатков.</w:t>
      </w:r>
    </w:p>
    <w:p>
      <w:r>
        <w:t>В карточке выполненной заявки фиксируется факт выполненных операций и приложенные отчёты (при наличии).</w:t>
      </w:r>
    </w:p>
    <w:p>
      <w:pPr>
        <w:pStyle w:val="Heading4"/>
      </w:pPr>
      <w:r>
        <w:t>4.2.4. Заявка на отгрузку</w:t>
      </w:r>
    </w:p>
    <w:p>
      <w:r>
        <w:t>Форма заявки на отгрузку должна обеспечивать выбор типа отгрузки (маркетплейс, на адрес, самовывоз), указание данных получателя или пункта сдачи, формирование состава отгрузки, загрузку файлов и комментарии.</w:t>
      </w:r>
    </w:p>
    <w:p>
      <w:r>
        <w:t>Создание заявки на отгрузку невозможно при недостаточном доступном остатке по SKU, если не разрешены частичные отгрузки.</w:t>
      </w:r>
    </w:p>
    <w:p>
      <w:r>
        <w:t>Результатом выполнения является фиксация факта отгрузки, списка коробов и документов (реестр, накладная при наличии).</w:t>
      </w:r>
    </w:p>
    <w:p>
      <w:pPr>
        <w:pStyle w:val="Heading4"/>
      </w:pPr>
      <w:r>
        <w:t>4.2.5. Прочие заявки</w:t>
      </w:r>
    </w:p>
    <w:p>
      <w:r>
        <w:t>Прочие заявки используются для обмена информацией и запросов, не относящихся напрямую к складским операциям. В карточке заявки фиксируется ответ Исполнителя и приложенные файлы.</w:t>
      </w:r>
    </w:p>
    <w:p>
      <w:pPr>
        <w:pStyle w:val="Heading3"/>
      </w:pPr>
      <w:r>
        <w:t>4.3. Раздел «Остатки»</w:t>
      </w:r>
    </w:p>
    <w:p>
      <w:r>
        <w:t>Раздел «Остатки» должен предоставлять клиенту доступ к информации об остатках товаров (артикул, наименование, штрихкод, количество, номер короба) с возможностью поиска, фильтрации и экспорта данных. Редактирование остатков в ЛК запрещено.</w:t>
      </w:r>
    </w:p>
    <w:p>
      <w:pPr>
        <w:pStyle w:val="Heading3"/>
      </w:pPr>
      <w:r>
        <w:t>4.4. Раздел «Номенклатура»</w:t>
      </w:r>
    </w:p>
    <w:p>
      <w:r>
        <w:t>Система должна обеспечивать создание и редактирование SKU, хранение атрибутов товара, признак маркировки «Честный знак», импорт SKU из файлов, привязку к маркетплейсам и ведение истории изменений SKU.</w:t>
      </w:r>
    </w:p>
    <w:p>
      <w:r>
        <w:t>Для SKU, полученных из маркетплейсов, режим редактирования (только просмотр или перезапись при синхронизации) определяется Заказчиком и фиксируется до начала работ.</w:t>
      </w:r>
    </w:p>
    <w:p>
      <w:pPr>
        <w:pStyle w:val="Heading3"/>
      </w:pPr>
      <w:r>
        <w:t>4.5. Интеграции маркетплейсов</w:t>
      </w:r>
    </w:p>
    <w:p>
      <w:r>
        <w:t>Система должна обеспечивать подключение маркетплейсов, безопасное хранение токенов, синхронизацию номенклатуры, механизм матчтинга SKU и ведение журнала синхронизаций.</w:t>
      </w:r>
    </w:p>
    <w:p>
      <w:pPr>
        <w:pStyle w:val="Heading3"/>
      </w:pPr>
      <w:r>
        <w:t>4.6. Биллинг услуг</w:t>
      </w:r>
    </w:p>
    <w:p>
      <w:r>
        <w:t>Личный кабинет должен обеспечивать отображение финансовой информации: начисления по услугам, счета, акты, оплаты, балансы и кредитные лимиты клиентов, а также экспорт данных в XLSX.</w:t>
      </w:r>
    </w:p>
    <w:p>
      <w:pPr>
        <w:pStyle w:val="Heading2"/>
      </w:pPr>
      <w:r>
        <w:t>5. Интеграции и API</w:t>
      </w:r>
    </w:p>
    <w:p>
      <w:r>
        <w:t>Система должна предоставлять единый REST/HTTP API для интеграций с ERP, маркетплейсами, транспортными компаниями и системами клиентов Заказчика с авторизацией и базовым логированием запросов.</w:t>
      </w:r>
    </w:p>
    <w:p>
      <w:pPr>
        <w:pStyle w:val="Heading2"/>
      </w:pPr>
      <w:r>
        <w:t>6. Приёмка и критерии качества</w:t>
      </w:r>
    </w:p>
    <w:p>
      <w:r>
        <w:t>Приёмка работ выполняется поэтапно. Критерием приёмки является соответствие функционала требованиям настоящего ТЗ. Замечания фиксируются в письменном виде. Изменения требований оформляются в порядке управления изменениями Договора.</w:t>
      </w:r>
    </w:p>
    <w:p>
      <w:pPr>
        <w:pStyle w:val="Heading2"/>
      </w:pPr>
      <w:r>
        <w:t>7. Гарантия и поддержка</w:t>
      </w:r>
    </w:p>
    <w:p>
      <w:r>
        <w:t>Гарантийный срок составляет 6 месяцев с даты подписания итогового Акта сдачи-приёмки. Поддержка и сопровождение системы осуществляется в течение 6 месяцев после ввода в эксплуатацию и включает консультации и устранение ошибок без расширения функционала.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