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комманд для работы с файловой системой по заданному сценарию.</w:t>
      </w:r>
    </w:p>
    <w:bookmarkEnd w:id="21"/>
    <w:bookmarkStart w:id="61" w:name="выполнение-лабораторной-работы-8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8.</w:t>
      </w:r>
    </w:p>
    <w:p>
      <w:pPr>
        <w:pStyle w:val="FirstParagraph"/>
      </w:pPr>
      <w:r>
        <w:t xml:space="preserve">Запись названий файлов из двух каталогов. (рис. fig. 1).</w:t>
      </w:r>
    </w:p>
    <w:p>
      <w:pPr>
        <w:pStyle w:val="CaptionedFigure"/>
      </w:pPr>
      <w:r>
        <w:drawing>
          <wp:inline>
            <wp:extent cx="3733800" cy="542703"/>
            <wp:effectExtent b="0" l="0" r="0" t="0"/>
            <wp:docPr descr="Запись названий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названий файлов</w:t>
      </w:r>
    </w:p>
    <w:p>
      <w:pPr>
        <w:pStyle w:val="BodyText"/>
      </w:pPr>
      <w:r>
        <w:t xml:space="preserve">Вывод файлов с заданным расширением. (рис. fig. 2).</w:t>
      </w:r>
    </w:p>
    <w:p>
      <w:pPr>
        <w:pStyle w:val="CaptionedFigure"/>
      </w:pPr>
      <w:r>
        <w:drawing>
          <wp:inline>
            <wp:extent cx="3733800" cy="2274023"/>
            <wp:effectExtent b="0" l="0" r="0" t="0"/>
            <wp:docPr descr="Вывод файлов .con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файлов .conf</w:t>
      </w:r>
    </w:p>
    <w:p>
      <w:pPr>
        <w:pStyle w:val="BodyText"/>
      </w:pPr>
      <w:r>
        <w:t xml:space="preserve">Запись названий фалйов .conf в отдельный файл. (рис. fig. 3).</w:t>
      </w:r>
    </w:p>
    <w:p>
      <w:pPr>
        <w:pStyle w:val="CaptionedFigure"/>
      </w:pPr>
      <w:r>
        <w:drawing>
          <wp:inline>
            <wp:extent cx="3733800" cy="257684"/>
            <wp:effectExtent b="0" l="0" r="0" t="0"/>
            <wp:docPr descr="Запись с параметром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с параметром</w:t>
      </w:r>
    </w:p>
    <w:p>
      <w:pPr>
        <w:pStyle w:val="BodyText"/>
      </w:pPr>
      <w:r>
        <w:t xml:space="preserve">Поиск файлов с заданной первой буквой названия. (рис. fig. 4).</w:t>
      </w:r>
    </w:p>
    <w:p>
      <w:pPr>
        <w:pStyle w:val="CaptionedFigure"/>
      </w:pPr>
      <w:r>
        <w:drawing>
          <wp:inline>
            <wp:extent cx="3733800" cy="1216313"/>
            <wp:effectExtent b="0" l="0" r="0" t="0"/>
            <wp:docPr descr="Поиск файлов с заданной первой буквой наз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 с заданной первой буквой названия</w:t>
      </w:r>
    </w:p>
    <w:p>
      <w:pPr>
        <w:pStyle w:val="BodyText"/>
      </w:pPr>
      <w:r>
        <w:t xml:space="preserve">ВЫвод файлов с заданной первой буквой названия по странично. (рис. fig. 5).</w:t>
      </w:r>
    </w:p>
    <w:p>
      <w:pPr>
        <w:pStyle w:val="CaptionedFigure"/>
      </w:pPr>
      <w:r>
        <w:drawing>
          <wp:inline>
            <wp:extent cx="3733800" cy="398974"/>
            <wp:effectExtent b="0" l="0" r="0" t="0"/>
            <wp:docPr descr="Постраничный выво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Постраничный вывод</w:t>
      </w:r>
    </w:p>
    <w:p>
      <w:pPr>
        <w:pStyle w:val="BodyText"/>
      </w:pPr>
      <w:r>
        <w:t xml:space="preserve">Фоновая запись файлов начинающихся с log в отдельный файл. (рис. fig. 6).</w:t>
      </w:r>
    </w:p>
    <w:p>
      <w:pPr>
        <w:pStyle w:val="CaptionedFigure"/>
      </w:pPr>
      <w:r>
        <w:drawing>
          <wp:inline>
            <wp:extent cx="3733800" cy="463564"/>
            <wp:effectExtent b="0" l="0" r="0" t="0"/>
            <wp:docPr descr="Фоновый процесс запис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процесс записи</w:t>
      </w:r>
    </w:p>
    <w:p>
      <w:pPr>
        <w:pStyle w:val="BodyText"/>
      </w:pPr>
      <w:r>
        <w:t xml:space="preserve">Удаление файла(рис. fig. 7).</w:t>
      </w:r>
    </w:p>
    <w:p>
      <w:pPr>
        <w:pStyle w:val="CaptionedFigure"/>
      </w:pPr>
      <w:r>
        <w:drawing>
          <wp:inline>
            <wp:extent cx="3733800" cy="237605"/>
            <wp:effectExtent b="0" l="0" r="0" t="0"/>
            <wp:docPr descr="Удале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Удаление файла</w:t>
      </w:r>
    </w:p>
    <w:p>
      <w:pPr>
        <w:pStyle w:val="BodyText"/>
      </w:pPr>
      <w:r>
        <w:t xml:space="preserve">Завершение процесса командой kill(рис. fig. 8).</w:t>
      </w:r>
    </w:p>
    <w:p>
      <w:pPr>
        <w:pStyle w:val="CaptionedFigure"/>
      </w:pPr>
      <w:r>
        <w:drawing>
          <wp:inline>
            <wp:extent cx="3733800" cy="581359"/>
            <wp:effectExtent b="0" l="0" r="0" t="0"/>
            <wp:docPr descr="kill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kill</w:t>
      </w:r>
    </w:p>
    <w:p>
      <w:pPr>
        <w:pStyle w:val="BodyText"/>
      </w:pPr>
      <w:r>
        <w:t xml:space="preserve">Справка по командам df и du(рис. fig. 9).</w:t>
      </w:r>
    </w:p>
    <w:p>
      <w:pPr>
        <w:pStyle w:val="CaptionedFigure"/>
      </w:pPr>
      <w:r>
        <w:drawing>
          <wp:inline>
            <wp:extent cx="3733800" cy="258991"/>
            <wp:effectExtent b="0" l="0" r="0" t="0"/>
            <wp:docPr descr="Справка по командам df и du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командам df и du</w:t>
      </w:r>
    </w:p>
    <w:p>
      <w:pPr>
        <w:pStyle w:val="BodyText"/>
      </w:pPr>
      <w:r>
        <w:t xml:space="preserve">Использование df(рис. fig. 10).</w:t>
      </w:r>
    </w:p>
    <w:p>
      <w:pPr>
        <w:pStyle w:val="CaptionedFigure"/>
      </w:pPr>
      <w:r>
        <w:drawing>
          <wp:inline>
            <wp:extent cx="3733800" cy="1698171"/>
            <wp:effectExtent b="0" l="0" r="0" t="0"/>
            <wp:docPr descr="Использование df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Использование df</w:t>
      </w:r>
    </w:p>
    <w:p>
      <w:pPr>
        <w:pStyle w:val="BodyText"/>
      </w:pPr>
      <w:r>
        <w:t xml:space="preserve">Использование du. (рис. fig. 11).</w:t>
      </w:r>
    </w:p>
    <w:p>
      <w:pPr>
        <w:pStyle w:val="CaptionedFigure"/>
      </w:pPr>
      <w:r>
        <w:drawing>
          <wp:inline>
            <wp:extent cx="3733800" cy="276778"/>
            <wp:effectExtent b="0" l="0" r="0" t="0"/>
            <wp:docPr descr="Использование du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du</w:t>
      </w:r>
    </w:p>
    <w:p>
      <w:pPr>
        <w:pStyle w:val="BodyText"/>
      </w:pPr>
      <w:r>
        <w:t xml:space="preserve">Поиск по типу элемента(директорий) с разным форматом вывода. (рис. fig. 12).</w:t>
      </w:r>
    </w:p>
    <w:p>
      <w:pPr>
        <w:pStyle w:val="CaptionedFigure"/>
      </w:pPr>
      <w:r>
        <w:drawing>
          <wp:inline>
            <wp:extent cx="3733800" cy="226083"/>
            <wp:effectExtent b="0" l="0" r="0" t="0"/>
            <wp:docPr descr="Вывод с полным путем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с полным путем</w:t>
      </w:r>
    </w:p>
    <w:p>
      <w:pPr>
        <w:pStyle w:val="CaptionedFigure"/>
      </w:pPr>
      <w:r>
        <w:drawing>
          <wp:inline>
            <wp:extent cx="3733800" cy="227274"/>
            <wp:effectExtent b="0" l="0" r="0" t="0"/>
            <wp:docPr descr="Вывод только названи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Вывод только названий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ознакомились с файловой системой Linux, её структурой, именами и содержанием каталогов. Получили навыки рабоыт с системой поиска файлов и системой воновых процессов. Научились применять их на практике.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8</dc:title>
  <dc:creator>Власов Артем Сергеевич</dc:creator>
  <dc:language>ru-RU</dc:language>
  <cp:keywords/>
  <dcterms:created xsi:type="dcterms:W3CDTF">2025-04-05T17:08:07Z</dcterms:created>
  <dcterms:modified xsi:type="dcterms:W3CDTF">2025-04-05T17:08:07Z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