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Власов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последовательность комманд по заданному сценарию.</w:t>
      </w:r>
    </w:p>
    <w:bookmarkEnd w:id="21"/>
    <w:bookmarkStart w:id="94" w:name="выполнение-лабораторной-работы-9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 9.</w:t>
      </w:r>
    </w:p>
    <w:p>
      <w:pPr>
        <w:pStyle w:val="FirstParagraph"/>
      </w:pPr>
      <w:r>
        <w:t xml:space="preserve">Просмотр справки Midnight Commander. (рис. fig. 1).</w:t>
      </w:r>
    </w:p>
    <w:p>
      <w:pPr>
        <w:pStyle w:val="CaptionedFigure"/>
      </w:pPr>
      <w:r>
        <w:drawing>
          <wp:inline>
            <wp:extent cx="3733800" cy="2082524"/>
            <wp:effectExtent b="0" l="0" r="0" t="0"/>
            <wp:docPr descr="Справк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2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Справка</w:t>
      </w:r>
    </w:p>
    <w:p>
      <w:pPr>
        <w:pStyle w:val="BodyText"/>
      </w:pPr>
      <w:r>
        <w:t xml:space="preserve">Система Midnight Commander. (рис. fig. 2).</w:t>
      </w:r>
    </w:p>
    <w:p>
      <w:pPr>
        <w:pStyle w:val="CaptionedFigure"/>
      </w:pPr>
      <w:r>
        <w:drawing>
          <wp:inline>
            <wp:extent cx="3733800" cy="2563341"/>
            <wp:effectExtent b="0" l="0" r="0" t="0"/>
            <wp:docPr descr="Midnight Commander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3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Midnight Commander</w:t>
      </w:r>
    </w:p>
    <w:p>
      <w:pPr>
        <w:pStyle w:val="BodyText"/>
      </w:pPr>
      <w:r>
        <w:t xml:space="preserve">Выделение файлов. (рис. fig. 3).</w:t>
      </w:r>
    </w:p>
    <w:p>
      <w:pPr>
        <w:pStyle w:val="CaptionedFigure"/>
      </w:pPr>
      <w:r>
        <w:drawing>
          <wp:inline>
            <wp:extent cx="3733800" cy="1830149"/>
            <wp:effectExtent b="0" l="0" r="0" t="0"/>
            <wp:docPr descr="Выделение файлов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0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Выделение файлов</w:t>
      </w:r>
    </w:p>
    <w:p>
      <w:pPr>
        <w:pStyle w:val="BodyText"/>
      </w:pPr>
      <w:r>
        <w:t xml:space="preserve">Копирование файлов. (рис. fig. 4).</w:t>
      </w:r>
    </w:p>
    <w:p>
      <w:pPr>
        <w:pStyle w:val="CaptionedFigure"/>
      </w:pPr>
      <w:r>
        <w:drawing>
          <wp:inline>
            <wp:extent cx="3733800" cy="1905525"/>
            <wp:effectExtent b="0" l="0" r="0" t="0"/>
            <wp:docPr descr="Копирование файлов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5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Копирование файлов</w:t>
      </w:r>
    </w:p>
    <w:p>
      <w:pPr>
        <w:pStyle w:val="BodyText"/>
      </w:pPr>
      <w:r>
        <w:t xml:space="preserve">Просмотр информации по файлу. (рис. fig. 5).</w:t>
      </w:r>
    </w:p>
    <w:p>
      <w:pPr>
        <w:pStyle w:val="CaptionedFigure"/>
      </w:pPr>
      <w:r>
        <w:drawing>
          <wp:inline>
            <wp:extent cx="3733800" cy="2511917"/>
            <wp:effectExtent b="0" l="0" r="0" t="0"/>
            <wp:docPr descr="Просмотр информации по файлу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1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Просмотр информации по файлу</w:t>
      </w:r>
    </w:p>
    <w:p>
      <w:pPr>
        <w:pStyle w:val="BodyText"/>
      </w:pPr>
      <w:r>
        <w:t xml:space="preserve">Просмотр информации по файлу с помощью Midnight Commander. (рис. fig. 6).</w:t>
      </w:r>
    </w:p>
    <w:p>
      <w:pPr>
        <w:pStyle w:val="CaptionedFigure"/>
      </w:pPr>
      <w:r>
        <w:drawing>
          <wp:inline>
            <wp:extent cx="3733800" cy="3702620"/>
            <wp:effectExtent b="0" l="0" r="0" t="0"/>
            <wp:docPr descr="Midnight Commander информация по файлу или каталогу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2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Midnight Commander информация по файлу или каталогу</w:t>
      </w:r>
    </w:p>
    <w:p>
      <w:pPr>
        <w:pStyle w:val="BodyText"/>
      </w:pPr>
      <w:r>
        <w:t xml:space="preserve">Редактор Midnight Commander(рис. fig. 7).</w:t>
      </w:r>
    </w:p>
    <w:p>
      <w:pPr>
        <w:pStyle w:val="CaptionedFigure"/>
      </w:pPr>
      <w:r>
        <w:drawing>
          <wp:inline>
            <wp:extent cx="3733800" cy="1570718"/>
            <wp:effectExtent b="0" l="0" r="0" t="0"/>
            <wp:docPr descr="Редактор Midnight Commander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0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Редактор Midnight Commander</w:t>
      </w:r>
    </w:p>
    <w:p>
      <w:pPr>
        <w:pStyle w:val="BodyText"/>
      </w:pPr>
      <w:r>
        <w:t xml:space="preserve">Редактирование файла без сохранения(рис. fig. 8).</w:t>
      </w:r>
    </w:p>
    <w:p>
      <w:pPr>
        <w:pStyle w:val="CaptionedFigure"/>
      </w:pPr>
      <w:r>
        <w:drawing>
          <wp:inline>
            <wp:extent cx="3733800" cy="1609016"/>
            <wp:effectExtent b="0" l="0" r="0" t="0"/>
            <wp:docPr descr="Редактирование файл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9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файла</w:t>
      </w:r>
    </w:p>
    <w:p>
      <w:pPr>
        <w:pStyle w:val="BodyText"/>
      </w:pPr>
      <w:r>
        <w:t xml:space="preserve">Создание нового каталога(рис. fig. 9).</w:t>
      </w:r>
    </w:p>
    <w:p>
      <w:pPr>
        <w:pStyle w:val="CaptionedFigure"/>
      </w:pPr>
      <w:r>
        <w:drawing>
          <wp:inline>
            <wp:extent cx="3733800" cy="1441246"/>
            <wp:effectExtent b="0" l="0" r="0" t="0"/>
            <wp:docPr descr="Создание каталог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1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каталога</w:t>
      </w:r>
    </w:p>
    <w:p>
      <w:pPr>
        <w:pStyle w:val="BodyText"/>
      </w:pPr>
      <w:r>
        <w:t xml:space="preserve">Копирование каталога(рис. fig. 10).</w:t>
      </w:r>
    </w:p>
    <w:p>
      <w:pPr>
        <w:pStyle w:val="CaptionedFigure"/>
      </w:pPr>
      <w:r>
        <w:drawing>
          <wp:inline>
            <wp:extent cx="3733800" cy="1683334"/>
            <wp:effectExtent b="0" l="0" r="0" t="0"/>
            <wp:docPr descr="Копирование каталог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3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Копирование каталога</w:t>
      </w:r>
    </w:p>
    <w:p>
      <w:pPr>
        <w:pStyle w:val="BodyText"/>
      </w:pPr>
      <w:r>
        <w:t xml:space="preserve">Поиск файла. (рис. fig. 11).</w:t>
      </w:r>
    </w:p>
    <w:p>
      <w:pPr>
        <w:pStyle w:val="CaptionedFigure"/>
      </w:pPr>
      <w:r>
        <w:drawing>
          <wp:inline>
            <wp:extent cx="3733800" cy="2571595"/>
            <wp:effectExtent b="0" l="0" r="0" t="0"/>
            <wp:docPr descr="Поиск файла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1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файла</w:t>
      </w:r>
    </w:p>
    <w:p>
      <w:pPr>
        <w:pStyle w:val="BodyText"/>
      </w:pPr>
      <w:r>
        <w:t xml:space="preserve">Дерево каталогов и перемещние в домашний каталог. (рис. fig. 12).</w:t>
      </w:r>
    </w:p>
    <w:p>
      <w:pPr>
        <w:pStyle w:val="CaptionedFigure"/>
      </w:pPr>
      <w:r>
        <w:drawing>
          <wp:inline>
            <wp:extent cx="3733800" cy="2190795"/>
            <wp:effectExtent b="0" l="0" r="0" t="0"/>
            <wp:docPr descr="Дерево каталогов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0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Дерево каталогов</w:t>
      </w:r>
    </w:p>
    <w:p>
      <w:pPr>
        <w:pStyle w:val="BodyText"/>
      </w:pPr>
      <w:r>
        <w:t xml:space="preserve">Файл меню. (рис. fig. 13)</w:t>
      </w:r>
    </w:p>
    <w:p>
      <w:pPr>
        <w:pStyle w:val="CaptionedFigure"/>
      </w:pPr>
      <w:r>
        <w:drawing>
          <wp:inline>
            <wp:extent cx="3733800" cy="1512104"/>
            <wp:effectExtent b="0" l="0" r="0" t="0"/>
            <wp:docPr descr="Файл меню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2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Файл меню</w:t>
      </w:r>
    </w:p>
    <w:p>
      <w:pPr>
        <w:pStyle w:val="BodyText"/>
      </w:pPr>
      <w:r>
        <w:t xml:space="preserve">Файл расширений. (рис. fig. 14).</w:t>
      </w:r>
    </w:p>
    <w:p>
      <w:pPr>
        <w:pStyle w:val="CaptionedFigure"/>
      </w:pPr>
      <w:r>
        <w:drawing>
          <wp:inline>
            <wp:extent cx="3733800" cy="1600793"/>
            <wp:effectExtent b="0" l="0" r="0" t="0"/>
            <wp:docPr descr="Файл расширений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Файл расширений</w:t>
      </w:r>
    </w:p>
    <w:p>
      <w:pPr>
        <w:pStyle w:val="BodyText"/>
      </w:pPr>
      <w:r>
        <w:t xml:space="preserve">Настройки mc(внешний вид). (рис. fig. 15).</w:t>
      </w:r>
    </w:p>
    <w:p>
      <w:pPr>
        <w:pStyle w:val="CaptionedFigure"/>
      </w:pPr>
      <w:r>
        <w:drawing>
          <wp:inline>
            <wp:extent cx="3733800" cy="2503842"/>
            <wp:effectExtent b="0" l="0" r="0" t="0"/>
            <wp:docPr descr="Настройки mc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3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Настройки mc</w:t>
      </w:r>
    </w:p>
    <w:p>
      <w:pPr>
        <w:pStyle w:val="BodyText"/>
      </w:pPr>
      <w:r>
        <w:t xml:space="preserve">Создание текстового файла. (рис. fig. 16).</w:t>
      </w:r>
    </w:p>
    <w:p>
      <w:pPr>
        <w:pStyle w:val="CaptionedFigure"/>
      </w:pPr>
      <w:r>
        <w:drawing>
          <wp:inline>
            <wp:extent cx="3733800" cy="1351453"/>
            <wp:effectExtent b="0" l="0" r="0" t="0"/>
            <wp:docPr descr="Текстовый файл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1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Текстовый файл</w:t>
      </w:r>
    </w:p>
    <w:p>
      <w:pPr>
        <w:pStyle w:val="BodyText"/>
      </w:pPr>
      <w:r>
        <w:t xml:space="preserve">Удаление строки. (рис. fig. 17).</w:t>
      </w:r>
    </w:p>
    <w:p>
      <w:pPr>
        <w:pStyle w:val="CaptionedFigure"/>
      </w:pPr>
      <w:r>
        <w:drawing>
          <wp:inline>
            <wp:extent cx="3733800" cy="533926"/>
            <wp:effectExtent b="0" l="0" r="0" t="0"/>
            <wp:docPr descr="До удаления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До удаления</w:t>
      </w:r>
    </w:p>
    <w:p>
      <w:pPr>
        <w:pStyle w:val="CaptionedFigure"/>
      </w:pPr>
      <w:r>
        <w:drawing>
          <wp:inline>
            <wp:extent cx="3733800" cy="418538"/>
            <wp:effectExtent b="0" l="0" r="0" t="0"/>
            <wp:docPr descr="После удаления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После удаления</w:t>
      </w:r>
    </w:p>
    <w:p>
      <w:pPr>
        <w:pStyle w:val="BodyText"/>
      </w:pPr>
      <w:r>
        <w:t xml:space="preserve">Копирование строк(рис. fig. 19).</w:t>
      </w:r>
    </w:p>
    <w:p>
      <w:pPr>
        <w:pStyle w:val="CaptionedFigure"/>
      </w:pPr>
      <w:r>
        <w:drawing>
          <wp:inline>
            <wp:extent cx="3733800" cy="1172921"/>
            <wp:effectExtent b="0" l="0" r="0" t="0"/>
            <wp:docPr descr="До копирования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2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До копирования</w:t>
      </w:r>
    </w:p>
    <w:p>
      <w:pPr>
        <w:pStyle w:val="CaptionedFigure"/>
      </w:pPr>
      <w:r>
        <w:drawing>
          <wp:inline>
            <wp:extent cx="3733800" cy="1303515"/>
            <wp:effectExtent b="0" l="0" r="0" t="0"/>
            <wp:docPr descr="После копирования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3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После копирования</w:t>
      </w:r>
    </w:p>
    <w:p>
      <w:pPr>
        <w:pStyle w:val="BodyText"/>
      </w:pPr>
      <w:r>
        <w:t xml:space="preserve">Перемещение строк(рис. fig. 21).</w:t>
      </w:r>
    </w:p>
    <w:p>
      <w:pPr>
        <w:pStyle w:val="CaptionedFigure"/>
      </w:pPr>
      <w:r>
        <w:drawing>
          <wp:inline>
            <wp:extent cx="3733800" cy="2826100"/>
            <wp:effectExtent b="0" l="0" r="0" t="0"/>
            <wp:docPr descr="Перемещение строк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Перемещение строк</w:t>
      </w:r>
    </w:p>
    <w:p>
      <w:pPr>
        <w:pStyle w:val="BodyText"/>
      </w:pPr>
      <w:r>
        <w:t xml:space="preserve">Сохранение файла(рис. fig. 22).</w:t>
      </w:r>
    </w:p>
    <w:p>
      <w:pPr>
        <w:pStyle w:val="CaptionedFigure"/>
      </w:pPr>
      <w:r>
        <w:drawing>
          <wp:inline>
            <wp:extent cx="3733800" cy="1175104"/>
            <wp:effectExtent b="0" l="0" r="0" t="0"/>
            <wp:docPr descr="Сохранение файла" title="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5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Сохранение файла</w:t>
      </w:r>
    </w:p>
    <w:p>
      <w:pPr>
        <w:pStyle w:val="BodyText"/>
      </w:pPr>
      <w:r>
        <w:t xml:space="preserve">Отключение подстветки синтаксиса(рис. fig. 23).</w:t>
      </w:r>
    </w:p>
    <w:p>
      <w:pPr>
        <w:pStyle w:val="CaptionedFigure"/>
      </w:pPr>
      <w:r>
        <w:drawing>
          <wp:inline>
            <wp:extent cx="3733800" cy="855828"/>
            <wp:effectExtent b="0" l="0" r="0" t="0"/>
            <wp:docPr descr="До отключения" title="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5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До отключения</w:t>
      </w:r>
    </w:p>
    <w:p>
      <w:pPr>
        <w:pStyle w:val="CaptionedFigure"/>
      </w:pPr>
      <w:r>
        <w:drawing>
          <wp:inline>
            <wp:extent cx="3570972" cy="2454442"/>
            <wp:effectExtent b="0" l="0" r="0" t="0"/>
            <wp:docPr descr="После отключения" title="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972" cy="2454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После отключения</w:t>
      </w:r>
    </w:p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основные возможности командной оболочки Midnight Commander. Приобрели навыки практической работы по просмотру каталогов и файлов; манипуляций с ними.</w:t>
      </w:r>
    </w:p>
    <w:bookmarkEnd w:id="95"/>
    <w:bookmarkStart w:id="97" w:name="список-литературы"/>
    <w:p>
      <w:pPr>
        <w:pStyle w:val="Heading1"/>
      </w:pPr>
      <w:r>
        <w:t xml:space="preserve">Список литературы</w:t>
      </w:r>
    </w:p>
    <w:bookmarkStart w:id="96" w:name="refs"/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9</dc:title>
  <dc:creator>Власов Артем Сергеевич</dc:creator>
  <dc:language>ru-RU</dc:language>
  <cp:keywords/>
  <dcterms:created xsi:type="dcterms:W3CDTF">2025-04-12T18:55:42Z</dcterms:created>
  <dcterms:modified xsi:type="dcterms:W3CDTF">2025-04-12T18:55:42Z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Командная оболочка Midnight Commander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