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последовательность действий по заданному сценарию.</w:t>
      </w:r>
    </w:p>
    <w:bookmarkEnd w:id="21"/>
    <w:bookmarkStart w:id="57" w:name="выполнение-лабораторной-работы-10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10.</w:t>
      </w:r>
    </w:p>
    <w:p>
      <w:pPr>
        <w:pStyle w:val="FirstParagraph"/>
      </w:pPr>
      <w:r>
        <w:t xml:space="preserve">СОздание и откртие файла в vi. (рис. fig. 1).</w:t>
      </w:r>
    </w:p>
    <w:p>
      <w:pPr>
        <w:pStyle w:val="CaptionedFigure"/>
      </w:pPr>
      <w:r>
        <w:drawing>
          <wp:inline>
            <wp:extent cx="3733800" cy="969286"/>
            <wp:effectExtent b="0" l="0" r="0" t="0"/>
            <wp:docPr descr="Создание калагога и открытие файла с помощью vi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9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калагога и открытие файла с помощью vi</w:t>
      </w:r>
    </w:p>
    <w:p>
      <w:pPr>
        <w:pStyle w:val="BodyText"/>
      </w:pPr>
      <w:r>
        <w:t xml:space="preserve">Вставка текста в файл с помощью vi. (рис. fig. 2).</w:t>
      </w:r>
    </w:p>
    <w:p>
      <w:pPr>
        <w:pStyle w:val="CaptionedFigure"/>
      </w:pPr>
      <w:r>
        <w:drawing>
          <wp:inline>
            <wp:extent cx="3493970" cy="2271562"/>
            <wp:effectExtent b="0" l="0" r="0" t="0"/>
            <wp:docPr descr="Вставка текста в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227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Вставка текста в файл</w:t>
      </w:r>
    </w:p>
    <w:p>
      <w:pPr>
        <w:pStyle w:val="BodyText"/>
      </w:pPr>
      <w:r>
        <w:t xml:space="preserve">Запись и выход из файла. (рис. fig. 3).</w:t>
      </w:r>
    </w:p>
    <w:p>
      <w:pPr>
        <w:pStyle w:val="CaptionedFigure"/>
      </w:pPr>
      <w:r>
        <w:drawing>
          <wp:inline>
            <wp:extent cx="3733800" cy="861646"/>
            <wp:effectExtent b="0" l="0" r="0" t="0"/>
            <wp:docPr descr="Сохранение изменений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Сохранение изменений</w:t>
      </w:r>
    </w:p>
    <w:p>
      <w:pPr>
        <w:pStyle w:val="BodyText"/>
      </w:pPr>
      <w:r>
        <w:t xml:space="preserve">Делаем файл исполняемым. (рис. fig. 4).</w:t>
      </w:r>
    </w:p>
    <w:p>
      <w:pPr>
        <w:pStyle w:val="CaptionedFigure"/>
      </w:pPr>
      <w:r>
        <w:drawing>
          <wp:inline>
            <wp:extent cx="3733800" cy="202295"/>
            <wp:effectExtent b="0" l="0" r="0" t="0"/>
            <wp:docPr descr="Изменение доступа на исполнени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доступа на исполнение</w:t>
      </w:r>
    </w:p>
    <w:p>
      <w:pPr>
        <w:pStyle w:val="BodyText"/>
      </w:pPr>
      <w:r>
        <w:t xml:space="preserve">Открытие файла в vi. (рис. fig. 5).</w:t>
      </w:r>
    </w:p>
    <w:p>
      <w:pPr>
        <w:pStyle w:val="CaptionedFigure"/>
      </w:pPr>
      <w:r>
        <w:drawing>
          <wp:inline>
            <wp:extent cx="3733800" cy="284846"/>
            <wp:effectExtent b="0" l="0" r="0" t="0"/>
            <wp:docPr descr="Открываем файл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Открываем файл</w:t>
      </w:r>
    </w:p>
    <w:p>
      <w:pPr>
        <w:pStyle w:val="BodyText"/>
      </w:pPr>
      <w:r>
        <w:t xml:space="preserve">Пишем HELLO вместо HELL. (рис. fig. 6).</w:t>
      </w:r>
    </w:p>
    <w:p>
      <w:pPr>
        <w:pStyle w:val="CaptionedFigure"/>
      </w:pPr>
      <w:r>
        <w:drawing>
          <wp:inline>
            <wp:extent cx="3137835" cy="2175309"/>
            <wp:effectExtent b="0" l="0" r="0" t="0"/>
            <wp:docPr descr="Изменение файл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5" cy="217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файла</w:t>
      </w:r>
    </w:p>
    <w:p>
      <w:pPr>
        <w:pStyle w:val="BodyText"/>
      </w:pPr>
      <w:r>
        <w:t xml:space="preserve">Удаляем слово LOCAL(рис. fig. 7).</w:t>
      </w:r>
    </w:p>
    <w:p>
      <w:pPr>
        <w:pStyle w:val="CaptionedFigure"/>
      </w:pPr>
      <w:r>
        <w:drawing>
          <wp:inline>
            <wp:extent cx="2935705" cy="2136808"/>
            <wp:effectExtent b="0" l="0" r="0" t="0"/>
            <wp:docPr descr="Удаляем слово LOCAL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05" cy="213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Удаляем слово LOCAL</w:t>
      </w:r>
    </w:p>
    <w:p>
      <w:pPr>
        <w:pStyle w:val="BodyText"/>
      </w:pPr>
      <w:r>
        <w:t xml:space="preserve">Пишем вмсето него local(рис. fig. 8).</w:t>
      </w:r>
    </w:p>
    <w:p>
      <w:pPr>
        <w:pStyle w:val="CaptionedFigure"/>
      </w:pPr>
      <w:r>
        <w:drawing>
          <wp:inline>
            <wp:extent cx="3733800" cy="1993100"/>
            <wp:effectExtent b="0" l="0" r="0" t="0"/>
            <wp:docPr descr="Пишем вмсето него local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Пишем вмсето него local</w:t>
      </w:r>
    </w:p>
    <w:p>
      <w:pPr>
        <w:pStyle w:val="BodyText"/>
      </w:pPr>
      <w:r>
        <w:t xml:space="preserve">Переходим на последнюю строчку и пишем после нее еще одну(рис. fig. 9).</w:t>
      </w:r>
    </w:p>
    <w:p>
      <w:pPr>
        <w:pStyle w:val="CaptionedFigure"/>
      </w:pPr>
      <w:r>
        <w:drawing>
          <wp:inline>
            <wp:extent cx="3733800" cy="1555245"/>
            <wp:effectExtent b="0" l="0" r="0" t="0"/>
            <wp:docPr descr="Добавление строки после заданной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строки после заданной</w:t>
      </w:r>
    </w:p>
    <w:p>
      <w:pPr>
        <w:pStyle w:val="BodyText"/>
      </w:pPr>
      <w:r>
        <w:t xml:space="preserve">Удаление созданной строки(рис. fig. 10).</w:t>
      </w:r>
    </w:p>
    <w:p>
      <w:pPr>
        <w:pStyle w:val="CaptionedFigure"/>
      </w:pPr>
      <w:r>
        <w:drawing>
          <wp:inline>
            <wp:extent cx="3465094" cy="2175309"/>
            <wp:effectExtent b="0" l="0" r="0" t="0"/>
            <wp:docPr descr="Удаление строки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217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строки</w:t>
      </w:r>
    </w:p>
    <w:p>
      <w:pPr>
        <w:pStyle w:val="BodyText"/>
      </w:pPr>
      <w:r>
        <w:t xml:space="preserve">Отмена предыдущего действия(клавиша u). (рис. fig. 11).</w:t>
      </w:r>
    </w:p>
    <w:p>
      <w:pPr>
        <w:pStyle w:val="CaptionedFigure"/>
      </w:pPr>
      <w:r>
        <w:drawing>
          <wp:inline>
            <wp:extent cx="3733800" cy="3514457"/>
            <wp:effectExtent b="0" l="0" r="0" t="0"/>
            <wp:docPr descr="Отмена предыдущего действия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Отмена предыдущего действия</w:t>
      </w:r>
    </w:p>
    <w:p>
      <w:pPr>
        <w:pStyle w:val="BodyText"/>
      </w:pPr>
      <w:r>
        <w:t xml:space="preserve">Сохранение изменений. (рис. fig. 12).</w:t>
      </w:r>
    </w:p>
    <w:p>
      <w:pPr>
        <w:pStyle w:val="CaptionedFigure"/>
      </w:pPr>
      <w:r>
        <w:drawing>
          <wp:inline>
            <wp:extent cx="3733800" cy="861646"/>
            <wp:effectExtent b="0" l="0" r="0" t="0"/>
            <wp:docPr descr="Сохранение изменений" title="" id="55" name="Picture"/>
            <a:graphic>
              <a:graphicData uri="http://schemas.openxmlformats.org/drawingml/2006/picture">
                <pic:pic>
                  <pic:nvPicPr>
                    <pic:cNvPr descr="image/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Сохранение изменений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основные возможности текстового редактора vi, научились выполнять действия, используя горячие клавиши.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10</dc:title>
  <dc:creator>Власов Артем Сергеевич</dc:creator>
  <dc:language>ru-RU</dc:language>
  <cp:keywords/>
  <dcterms:created xsi:type="dcterms:W3CDTF">2025-04-19T17:32:46Z</dcterms:created>
  <dcterms:modified xsi:type="dcterms:W3CDTF">2025-04-19T17:32:46Z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Текстовый редактор vi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