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действий по заданному сценарию.</w:t>
      </w:r>
    </w:p>
    <w:bookmarkEnd w:id="21"/>
    <w:bookmarkStart w:id="71" w:name="выполнение-лабораторной-работы-11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11.</w:t>
      </w:r>
    </w:p>
    <w:p>
      <w:pPr>
        <w:pStyle w:val="FirstParagraph"/>
      </w:pPr>
      <w:r>
        <w:t xml:space="preserve">Создание и откртие файла в emacs. (рис. fig. 1).</w:t>
      </w:r>
    </w:p>
    <w:p>
      <w:pPr>
        <w:pStyle w:val="CaptionedFigure"/>
      </w:pPr>
      <w:r>
        <w:drawing>
          <wp:inline>
            <wp:extent cx="3733800" cy="1597635"/>
            <wp:effectExtent b="0" l="0" r="0" t="0"/>
            <wp:docPr descr="Создание калагога и открытие файла с помощью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калагога и открытие файла с помощью emacs</w:t>
      </w:r>
    </w:p>
    <w:p>
      <w:pPr>
        <w:pStyle w:val="BodyText"/>
      </w:pPr>
      <w:r>
        <w:t xml:space="preserve">Заполенние текстового файла. (рис. fig. 2).</w:t>
      </w:r>
    </w:p>
    <w:p>
      <w:pPr>
        <w:pStyle w:val="CaptionedFigure"/>
      </w:pPr>
      <w:r>
        <w:drawing>
          <wp:inline>
            <wp:extent cx="2752825" cy="1559292"/>
            <wp:effectExtent b="0" l="0" r="0" t="0"/>
            <wp:docPr descr="Вставка текста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Вставка текста в файл</w:t>
      </w:r>
    </w:p>
    <w:p>
      <w:pPr>
        <w:pStyle w:val="BodyText"/>
      </w:pPr>
      <w:r>
        <w:t xml:space="preserve">Вырезка строки и вставка в конец файла. (рис. fig. 3).</w:t>
      </w:r>
    </w:p>
    <w:p>
      <w:pPr>
        <w:pStyle w:val="CaptionedFigure"/>
      </w:pPr>
      <w:r>
        <w:drawing>
          <wp:inline>
            <wp:extent cx="1905802" cy="1636294"/>
            <wp:effectExtent b="0" l="0" r="0" t="0"/>
            <wp:docPr descr="вырезать и вставить строк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02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вырезать и вставить строку</w:t>
      </w:r>
    </w:p>
    <w:p>
      <w:pPr>
        <w:pStyle w:val="BodyText"/>
      </w:pPr>
      <w:r>
        <w:t xml:space="preserve">Копирование и вставка выделенной области. (рис. fig. 4).</w:t>
      </w:r>
    </w:p>
    <w:p>
      <w:pPr>
        <w:pStyle w:val="CaptionedFigure"/>
      </w:pPr>
      <w:r>
        <w:drawing>
          <wp:inline>
            <wp:extent cx="1896176" cy="2714324"/>
            <wp:effectExtent b="0" l="0" r="0" t="0"/>
            <wp:docPr descr="Копирование и вставка выделенной област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и вставка выделенной области</w:t>
      </w:r>
    </w:p>
    <w:p>
      <w:pPr>
        <w:pStyle w:val="BodyText"/>
      </w:pPr>
      <w:r>
        <w:t xml:space="preserve">Вырезка области. (рис. fig. 5).</w:t>
      </w:r>
    </w:p>
    <w:p>
      <w:pPr>
        <w:pStyle w:val="CaptionedFigure"/>
      </w:pPr>
      <w:r>
        <w:drawing>
          <wp:inline>
            <wp:extent cx="1886551" cy="2271562"/>
            <wp:effectExtent b="0" l="0" r="0" t="0"/>
            <wp:docPr descr="Вырезка област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51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Вырезка области</w:t>
      </w:r>
    </w:p>
    <w:p>
      <w:pPr>
        <w:pStyle w:val="BodyText"/>
      </w:pPr>
      <w:r>
        <w:t xml:space="preserve">Отмена последнего действия. (рис. fig. 6).</w:t>
      </w:r>
    </w:p>
    <w:p>
      <w:pPr>
        <w:pStyle w:val="CaptionedFigure"/>
      </w:pPr>
      <w:r>
        <w:drawing>
          <wp:inline>
            <wp:extent cx="2194560" cy="2772075"/>
            <wp:effectExtent b="0" l="0" r="0" t="0"/>
            <wp:docPr descr="Отмена последнего действ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Отмена последнего действия</w:t>
      </w:r>
    </w:p>
    <w:p>
      <w:pPr>
        <w:pStyle w:val="BodyText"/>
      </w:pPr>
      <w:r>
        <w:t xml:space="preserve">Перемещение курсора в начало и конец строки и буфера(рис. fig. 7).</w:t>
      </w:r>
    </w:p>
    <w:p>
      <w:pPr>
        <w:pStyle w:val="CaptionedFigure"/>
      </w:pPr>
      <w:r>
        <w:drawing>
          <wp:inline>
            <wp:extent cx="3733800" cy="3176516"/>
            <wp:effectExtent b="0" l="0" r="0" t="0"/>
            <wp:docPr descr="Перемещение курсора в начало и конец строки и буфер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курсора в начало и конец строки и буфера</w:t>
      </w:r>
    </w:p>
    <w:p>
      <w:pPr>
        <w:pStyle w:val="BodyText"/>
      </w:pPr>
      <w:r>
        <w:t xml:space="preserve">Список активных буферов(рис. fig. 8).</w:t>
      </w:r>
    </w:p>
    <w:p>
      <w:pPr>
        <w:pStyle w:val="CaptionedFigure"/>
      </w:pPr>
      <w:r>
        <w:drawing>
          <wp:inline>
            <wp:extent cx="3733800" cy="892034"/>
            <wp:effectExtent b="0" l="0" r="0" t="0"/>
            <wp:docPr descr="Список активных буфер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Список активных буферов</w:t>
      </w:r>
    </w:p>
    <w:p>
      <w:pPr>
        <w:pStyle w:val="BodyText"/>
      </w:pPr>
      <w:r>
        <w:t xml:space="preserve">Переключение на другой буфер(рис. fig. 9).</w:t>
      </w:r>
    </w:p>
    <w:p>
      <w:pPr>
        <w:pStyle w:val="CaptionedFigure"/>
      </w:pPr>
      <w:r>
        <w:drawing>
          <wp:inline>
            <wp:extent cx="3733800" cy="3182998"/>
            <wp:effectExtent b="0" l="0" r="0" t="0"/>
            <wp:docPr descr="Переключение на другой буфер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Переключение на другой буфер</w:t>
      </w:r>
    </w:p>
    <w:p>
      <w:pPr>
        <w:pStyle w:val="BodyText"/>
      </w:pPr>
      <w:r>
        <w:t xml:space="preserve">Закрытие окна буфера(рис. fig. 10).</w:t>
      </w:r>
    </w:p>
    <w:p>
      <w:pPr>
        <w:pStyle w:val="CaptionedFigure"/>
      </w:pPr>
      <w:r>
        <w:drawing>
          <wp:inline>
            <wp:extent cx="3733800" cy="3306469"/>
            <wp:effectExtent b="0" l="0" r="0" t="0"/>
            <wp:docPr descr="Закрытие окна буфер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Закрытие окна буфера</w:t>
      </w:r>
    </w:p>
    <w:p>
      <w:pPr>
        <w:pStyle w:val="BodyText"/>
      </w:pPr>
      <w:r>
        <w:t xml:space="preserve">Переключение буферов комбинацией клавиш. (рис. fig. 11).</w:t>
      </w:r>
    </w:p>
    <w:p>
      <w:pPr>
        <w:pStyle w:val="CaptionedFigure"/>
      </w:pPr>
      <w:r>
        <w:drawing>
          <wp:inline>
            <wp:extent cx="3733800" cy="3488871"/>
            <wp:effectExtent b="0" l="0" r="0" t="0"/>
            <wp:docPr descr="Переключение буферов комбинацией клавиш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Переключение буферов комбинацией клавиш</w:t>
      </w:r>
    </w:p>
    <w:p>
      <w:pPr>
        <w:pStyle w:val="BodyText"/>
      </w:pPr>
      <w:r>
        <w:t xml:space="preserve">Разделение экрана на 4 части. (рис. fig. 12).</w:t>
      </w:r>
    </w:p>
    <w:p>
      <w:pPr>
        <w:pStyle w:val="CaptionedFigure"/>
      </w:pPr>
      <w:r>
        <w:drawing>
          <wp:inline>
            <wp:extent cx="3733800" cy="3465567"/>
            <wp:effectExtent b="0" l="0" r="0" t="0"/>
            <wp:docPr descr="Разделение экрана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Разделение экрана</w:t>
      </w:r>
    </w:p>
    <w:p>
      <w:pPr>
        <w:pStyle w:val="BodyText"/>
      </w:pPr>
      <w:r>
        <w:t xml:space="preserve">Поиск по файлу. (рис. fig. 13).</w:t>
      </w:r>
    </w:p>
    <w:p>
      <w:pPr>
        <w:pStyle w:val="CaptionedFigure"/>
      </w:pPr>
      <w:r>
        <w:drawing>
          <wp:inline>
            <wp:extent cx="3733800" cy="3521953"/>
            <wp:effectExtent b="0" l="0" r="0" t="0"/>
            <wp:docPr descr="Поиск по файлу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Поиск по файлу</w:t>
      </w:r>
    </w:p>
    <w:p>
      <w:pPr>
        <w:pStyle w:val="BodyText"/>
      </w:pPr>
      <w:r>
        <w:t xml:space="preserve">Переключение между результатами поиска. (рис. fig. 14).</w:t>
      </w:r>
    </w:p>
    <w:p>
      <w:pPr>
        <w:pStyle w:val="CaptionedFigure"/>
      </w:pPr>
      <w:r>
        <w:drawing>
          <wp:inline>
            <wp:extent cx="3733800" cy="3531108"/>
            <wp:effectExtent b="0" l="0" r="0" t="0"/>
            <wp:docPr descr="Переключение между результатами поиска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Переключение между результатами поиска</w:t>
      </w:r>
    </w:p>
    <w:p>
      <w:pPr>
        <w:pStyle w:val="BodyText"/>
      </w:pPr>
      <w:r>
        <w:t xml:space="preserve">Найти и заменить. (рис. fig. 15).</w:t>
      </w:r>
    </w:p>
    <w:p>
      <w:pPr>
        <w:pStyle w:val="CaptionedFigure"/>
      </w:pPr>
      <w:r>
        <w:drawing>
          <wp:inline>
            <wp:extent cx="3733800" cy="3247711"/>
            <wp:effectExtent b="0" l="0" r="0" t="0"/>
            <wp:docPr descr="Замена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Замена</w:t>
      </w:r>
    </w:p>
    <w:p>
      <w:pPr>
        <w:pStyle w:val="BodyText"/>
      </w:pPr>
      <w:r>
        <w:t xml:space="preserve">Поиск с помощью другого режима(показывает строки вхождения). (рис. fig. 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BodyText"/>
      </w:pPr>
      <w:bookmarkStart w:id="70" w:name="fig:017"/>
      <w:r>
        <w:drawing>
          <wp:inline>
            <wp:extent cx="3262964" cy="3031957"/>
            <wp:effectExtent b="0" l="0" r="0" t="0"/>
            <wp:docPr descr="Поиск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# Контрольные вопросы.</w:t>
      </w:r>
    </w:p>
    <w:p>
      <w:pPr>
        <w:pStyle w:val="BodyText"/>
      </w:pPr>
      <w:r>
        <w:t xml:space="preserve">1 - Emacs — это мощный, расширяемый текстовый редактор с поддержкой множества языков программирования и возможностью настройки под нужды пользователя. Он включает встроенные инструменты для работы с файлами, буферами, а также поддержку различных режимов редактирования.</w:t>
      </w:r>
      <w:r>
        <w:t xml:space="preserve"> </w:t>
      </w:r>
      <w:r>
        <w:t xml:space="preserve">2 - Сложность освоения Emacs для новичков может быть связана с нестандартными комбинациями клавиш, обилием функций и необходимостью изучения его терминологии (например, буферы, фреймы, окна).</w:t>
      </w:r>
      <w:r>
        <w:t xml:space="preserve"> </w:t>
      </w:r>
      <w:r>
        <w:t xml:space="preserve">3 - Буфер в Emacs — это область памяти, где хранится текст (файл, результат команды и т. д.). Окно — это видимая часть буфера, отображаемая на экране. В одном окне можно просматривать несколько буферов, переключаясь между ними.</w:t>
      </w:r>
      <w:r>
        <w:t xml:space="preserve"> </w:t>
      </w:r>
      <w:r>
        <w:t xml:space="preserve">4 - Да, в Emacs можно открыть больше 10 буферов в одном окне, ограничение зависит только от ресурсов системы.</w:t>
      </w:r>
      <w:r>
        <w:t xml:space="preserve"> </w:t>
      </w:r>
      <w:r>
        <w:t xml:space="preserve">5 - При запуске Emacs по умолчанию создаются буферы:</w:t>
      </w:r>
      <w:r>
        <w:t xml:space="preserve"> </w:t>
      </w:r>
      <w:r>
        <w:rPr>
          <w:i/>
          <w:iCs/>
        </w:rPr>
        <w:t xml:space="preserve">scratch</w:t>
      </w:r>
      <w:r>
        <w:t xml:space="preserve"> </w:t>
      </w:r>
      <w:r>
        <w:t xml:space="preserve">(для временных записей),</w:t>
      </w:r>
      <w:r>
        <w:t xml:space="preserve"> </w:t>
      </w:r>
      <w:r>
        <w:rPr>
          <w:i/>
          <w:iCs/>
        </w:rPr>
        <w:t xml:space="preserve">Messages</w:t>
      </w:r>
      <w:r>
        <w:t xml:space="preserve"> </w:t>
      </w:r>
      <w:r>
        <w:t xml:space="preserve">(логи работы), а также буферы, связанные с настройками и справкой.</w:t>
      </w:r>
      <w:r>
        <w:t xml:space="preserve"> </w:t>
      </w:r>
      <w:r>
        <w:t xml:space="preserve">6 - Для ввода комбинации C-c | нужно нажать Ctrl + c, а затем символ |. Для C-c | — аналогично, но символ | может потребовать дополнительного нажатия Shift в зависимости от раскладки клавиатуры.</w:t>
      </w:r>
      <w:r>
        <w:t xml:space="preserve"> </w:t>
      </w:r>
      <w:r>
        <w:t xml:space="preserve">7 - Текущее окно можно поделить на две части по вертикали комбинацией C-x 3 или по горизонтали — C-x 2.</w:t>
      </w:r>
      <w:r>
        <w:t xml:space="preserve"> </w:t>
      </w:r>
      <w:r>
        <w:t xml:space="preserve">8 - Настройки Emacs хранятся в файле ~/.emacs или ~/.emacs.d/init.el.</w:t>
      </w:r>
      <w:r>
        <w:t xml:space="preserve"> </w:t>
      </w:r>
      <w:r>
        <w:t xml:space="preserve">9 - Клавиша ( ) в Emacs обычно используется для ввода круглых скобок. Её можно переназначить через конфигурационный файл.</w:t>
      </w:r>
      <w:r>
        <w:t xml:space="preserve"> </w:t>
      </w:r>
      <w:r>
        <w:t xml:space="preserve">10 - Ответ на этот вопрос зависит от предпочтений пользователя. Например, Emacs удобен для программистов благодаря расширяемости, а другие редакторы (например, Nano) могут быть проще для новичков.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текстового редактора emacs, научились выполнять действия, используя горячие клавиши.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Власов Артем Сергеевич</dc:creator>
  <dc:language>ru-RU</dc:language>
  <cp:keywords/>
  <dcterms:created xsi:type="dcterms:W3CDTF">2025-04-26T19:42:10Z</dcterms:created>
  <dcterms:modified xsi:type="dcterms:W3CDTF">2025-04-26T19:42:10Z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Текстовый редактор emacs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