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2"/>
        <w:spacing w:before="0" w:after="0"/>
        <w:jc w:val="center"/>
        <w:rPr>
          <w:rFonts w:ascii="Times New Roman" w:hAnsi="Times New Roman" w:cs="Times New Roman"/>
          <w:b/>
          <w:bCs/>
          <w:sz w:val="21"/>
          <w:szCs w:val="21"/>
        </w:rPr>
      </w:pPr>
      <w:r>
        <w:rPr>
          <w:rFonts w:cs="Times New Roman" w:ascii="Times New Roman" w:hAnsi="Times New Roman"/>
          <w:b/>
          <w:bCs/>
          <w:sz w:val="21"/>
          <w:szCs w:val="21"/>
        </w:rPr>
        <w:t xml:space="preserve">ДОГОВОР </w:t>
      </w:r>
    </w:p>
    <w:p>
      <w:pPr>
        <w:pStyle w:val="12"/>
        <w:spacing w:before="0" w:after="0"/>
        <w:jc w:val="center"/>
        <w:rPr>
          <w:rFonts w:ascii="Times New Roman" w:hAnsi="Times New Roman" w:cs="Times New Roman"/>
          <w:b/>
          <w:bCs/>
          <w:sz w:val="21"/>
          <w:szCs w:val="21"/>
        </w:rPr>
      </w:pPr>
      <w:r>
        <w:rPr>
          <w:rFonts w:cs="Times New Roman" w:ascii="Times New Roman" w:hAnsi="Times New Roman"/>
          <w:b/>
          <w:bCs/>
          <w:sz w:val="21"/>
          <w:szCs w:val="21"/>
        </w:rPr>
        <w:t>публичной оферты для физических лиц, юридических лиц и индивидуальных предпринимателей</w:t>
      </w:r>
    </w:p>
    <w:p>
      <w:pPr>
        <w:pStyle w:val="12"/>
        <w:spacing w:before="0" w:after="0"/>
        <w:rPr>
          <w:rFonts w:ascii="Times New Roman" w:hAnsi="Times New Roman" w:cs="Times New Roman"/>
          <w:sz w:val="21"/>
          <w:szCs w:val="21"/>
        </w:rPr>
      </w:pPr>
      <w:r>
        <w:rPr>
          <w:rFonts w:cs="Times New Roman" w:ascii="Times New Roman" w:hAnsi="Times New Roman"/>
          <w:sz w:val="21"/>
          <w:szCs w:val="21"/>
        </w:rPr>
      </w:r>
    </w:p>
    <w:p>
      <w:pPr>
        <w:pStyle w:val="12"/>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Настоящий Договор является официальным и публичным предложением АКЦИОНЕРНОГО ОБЩЕСТВА «ВИНВИНЛЭНД», далее именуемого «Лицензиар», любому лицу, далее именуемому «Лицензиат», заключить договор, предмет и условия которого изложены ниже.</w:t>
      </w:r>
    </w:p>
    <w:p>
      <w:pPr>
        <w:pStyle w:val="12"/>
        <w:spacing w:before="0" w:after="0"/>
        <w:contextualSpacing/>
        <w:jc w:val="both"/>
        <w:rPr>
          <w:rFonts w:ascii="Times New Roman" w:hAnsi="Times New Roman" w:cs="Times New Roman"/>
          <w:sz w:val="21"/>
          <w:szCs w:val="21"/>
        </w:rPr>
      </w:pPr>
      <w:r>
        <w:rPr>
          <w:rFonts w:cs="Times New Roman" w:ascii="Times New Roman" w:hAnsi="Times New Roman"/>
          <w:sz w:val="21"/>
          <w:szCs w:val="21"/>
        </w:rPr>
        <w:t>Настоящий Договор является публичной офертой согласно статье 437 Гражданского кодекса Российской Федерации. Лицо, осуществившее акцепт настоящей публичной оферты, приобретает все права и обязанности Заказчика, предусмотренные настоящим Договором, и соглашается со всеми его положениями. Исполнитель и Заказчик являются Сторонами настоящего Договора.</w:t>
      </w:r>
    </w:p>
    <w:p>
      <w:pPr>
        <w:pStyle w:val="12"/>
        <w:spacing w:before="0" w:after="0"/>
        <w:ind w:firstLine="709"/>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tabs>
          <w:tab w:val="clear" w:pos="708"/>
          <w:tab w:val="left" w:pos="274" w:leader="none"/>
        </w:tabs>
        <w:spacing w:before="0" w:after="200"/>
        <w:contextualSpacing/>
        <w:rPr>
          <w:rFonts w:ascii="Times New Roman" w:hAnsi="Times New Roman" w:cs="Times New Roman"/>
          <w:b/>
          <w:bCs/>
          <w:sz w:val="21"/>
          <w:szCs w:val="21"/>
        </w:rPr>
      </w:pPr>
      <w:r>
        <w:rPr>
          <w:rFonts w:cs="Times New Roman" w:ascii="Times New Roman" w:hAnsi="Times New Roman"/>
          <w:b/>
          <w:bCs/>
          <w:sz w:val="21"/>
          <w:szCs w:val="21"/>
        </w:rPr>
        <w:t>1. Термины и определения</w:t>
      </w:r>
    </w:p>
    <w:p>
      <w:pPr>
        <w:pStyle w:val="12"/>
        <w:numPr>
          <w:ilvl w:val="1"/>
          <w:numId w:val="1"/>
        </w:numPr>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В настоящем Договоре и вытекающих или связанным с ним отношениях Сторон применяются следующие термины и определения:</w:t>
      </w:r>
    </w:p>
    <w:p>
      <w:pPr>
        <w:pStyle w:val="12"/>
        <w:numPr>
          <w:ilvl w:val="2"/>
          <w:numId w:val="1"/>
        </w:numPr>
        <w:tabs>
          <w:tab w:val="clear" w:pos="708"/>
          <w:tab w:val="left" w:pos="610" w:leader="none"/>
        </w:tabs>
        <w:spacing w:before="0" w:after="200"/>
        <w:contextualSpacing/>
        <w:jc w:val="both"/>
        <w:rPr>
          <w:rFonts w:ascii="Times New Roman" w:hAnsi="Times New Roman" w:cs="Times New Roman"/>
          <w:sz w:val="21"/>
          <w:szCs w:val="21"/>
        </w:rPr>
      </w:pPr>
      <w:r>
        <w:rPr>
          <w:rFonts w:cs="Times New Roman" w:ascii="Times New Roman" w:hAnsi="Times New Roman"/>
          <w:b/>
          <w:bCs/>
          <w:sz w:val="21"/>
          <w:szCs w:val="21"/>
        </w:rPr>
        <w:t>Сайт</w:t>
      </w:r>
      <w:r>
        <w:rPr>
          <w:rFonts w:cs="Times New Roman" w:ascii="Times New Roman" w:hAnsi="Times New Roman"/>
          <w:sz w:val="21"/>
          <w:szCs w:val="21"/>
        </w:rPr>
        <w:t xml:space="preserve"> - принадлежащая Лицензиару совокупность информации, текстов, графических элементов, дизайна, графики, изображений, аудиовизуальных произведений (фото и видеоматериалы) и иных результатов интеллектуальной деятельности, а также программ для ЭВМ, содержащихся в информационной системе, обеспечивающей доступность такой информации в сети Интернет по сетевым адресам: </w:t>
      </w:r>
      <w:hyperlink r:id="rId2">
        <w:r>
          <w:rPr>
            <w:rStyle w:val="Hyperlink"/>
            <w:rFonts w:cs="Times New Roman" w:ascii="Times New Roman" w:hAnsi="Times New Roman"/>
            <w:sz w:val="21"/>
            <w:szCs w:val="21"/>
            <w:lang w:val="en-US" w:eastAsia="en-US" w:bidi="en-US"/>
          </w:rPr>
          <w:t>https</w:t>
        </w:r>
        <w:r>
          <w:rPr>
            <w:rStyle w:val="Hyperlink"/>
            <w:rFonts w:cs="Times New Roman" w:ascii="Times New Roman" w:hAnsi="Times New Roman"/>
            <w:sz w:val="21"/>
            <w:szCs w:val="21"/>
            <w:lang w:eastAsia="en-US" w:bidi="en-US"/>
          </w:rPr>
          <w:t>://</w:t>
        </w:r>
        <w:r>
          <w:rPr>
            <w:rStyle w:val="Hyperlink"/>
            <w:rFonts w:cs="Times New Roman" w:ascii="Times New Roman" w:hAnsi="Times New Roman"/>
            <w:sz w:val="21"/>
            <w:szCs w:val="21"/>
            <w:lang w:val="en-US" w:eastAsia="en-US" w:bidi="en-US"/>
          </w:rPr>
          <w:t>winwinland</w:t>
        </w:r>
        <w:r>
          <w:rPr>
            <w:rStyle w:val="Hyperlink"/>
            <w:rFonts w:cs="Times New Roman" w:ascii="Times New Roman" w:hAnsi="Times New Roman"/>
            <w:sz w:val="21"/>
            <w:szCs w:val="21"/>
            <w:lang w:eastAsia="en-US" w:bidi="en-US"/>
          </w:rPr>
          <w:t>.</w:t>
        </w:r>
        <w:r>
          <w:rPr>
            <w:rStyle w:val="Hyperlink"/>
            <w:rFonts w:cs="Times New Roman" w:ascii="Times New Roman" w:hAnsi="Times New Roman"/>
            <w:sz w:val="21"/>
            <w:szCs w:val="21"/>
            <w:lang w:val="en-US" w:eastAsia="en-US" w:bidi="en-US"/>
          </w:rPr>
          <w:t>ru</w:t>
        </w:r>
        <w:r>
          <w:rPr>
            <w:rStyle w:val="Hyperlink"/>
            <w:rFonts w:cs="Times New Roman" w:ascii="Times New Roman" w:hAnsi="Times New Roman"/>
            <w:sz w:val="21"/>
            <w:szCs w:val="21"/>
            <w:lang w:eastAsia="en-US" w:bidi="en-US"/>
          </w:rPr>
          <w:t>/</w:t>
        </w:r>
      </w:hyperlink>
      <w:r>
        <w:rPr>
          <w:rFonts w:cs="Times New Roman" w:ascii="Times New Roman" w:hAnsi="Times New Roman"/>
          <w:sz w:val="21"/>
          <w:szCs w:val="21"/>
          <w:lang w:eastAsia="en-US" w:bidi="en-US"/>
        </w:rPr>
        <w:t xml:space="preserve">, </w:t>
      </w:r>
      <w:hyperlink r:id="rId3">
        <w:r>
          <w:rPr>
            <w:rStyle w:val="Hyperlink"/>
            <w:rFonts w:cs="Times New Roman" w:ascii="Times New Roman" w:hAnsi="Times New Roman"/>
            <w:sz w:val="21"/>
            <w:szCs w:val="21"/>
            <w:lang w:eastAsia="en-US" w:bidi="en-US"/>
          </w:rPr>
          <w:t>https://for16.ru</w:t>
        </w:r>
      </w:hyperlink>
      <w:r>
        <w:rPr>
          <w:rFonts w:cs="Times New Roman" w:ascii="Times New Roman" w:hAnsi="Times New Roman"/>
          <w:sz w:val="21"/>
          <w:szCs w:val="21"/>
          <w:lang w:eastAsia="en-US" w:bidi="en-US"/>
        </w:rPr>
        <w:t xml:space="preserve">  </w:t>
      </w:r>
      <w:r>
        <w:rPr>
          <w:rFonts w:cs="Times New Roman" w:ascii="Times New Roman" w:hAnsi="Times New Roman"/>
          <w:sz w:val="21"/>
          <w:szCs w:val="21"/>
        </w:rPr>
        <w:t>включая все его разделы, страницы, файловую структуру и любые иные структурные элементы, исходный и объектный код.</w:t>
      </w:r>
    </w:p>
    <w:p>
      <w:pPr>
        <w:pStyle w:val="12"/>
        <w:numPr>
          <w:ilvl w:val="2"/>
          <w:numId w:val="1"/>
        </w:numPr>
        <w:tabs>
          <w:tab w:val="clear" w:pos="708"/>
          <w:tab w:val="left" w:pos="615" w:leader="none"/>
        </w:tabs>
        <w:spacing w:before="0" w:after="200"/>
        <w:contextualSpacing/>
        <w:jc w:val="both"/>
        <w:rPr>
          <w:rFonts w:ascii="Times New Roman" w:hAnsi="Times New Roman" w:cs="Times New Roman"/>
          <w:sz w:val="21"/>
          <w:szCs w:val="21"/>
        </w:rPr>
      </w:pPr>
      <w:r>
        <w:rPr>
          <w:rFonts w:cs="Times New Roman" w:ascii="Times New Roman" w:hAnsi="Times New Roman"/>
          <w:b/>
          <w:bCs/>
          <w:sz w:val="21"/>
          <w:szCs w:val="21"/>
        </w:rPr>
        <w:t>Программное обеспечение (ПО)</w:t>
      </w:r>
      <w:r>
        <w:rPr>
          <w:rFonts w:cs="Times New Roman" w:ascii="Times New Roman" w:hAnsi="Times New Roman"/>
          <w:sz w:val="21"/>
          <w:szCs w:val="21"/>
        </w:rPr>
        <w:t xml:space="preserve"> - браузер </w:t>
      </w:r>
      <w:r>
        <w:rPr>
          <w:rFonts w:cs="Times New Roman" w:ascii="Times New Roman" w:hAnsi="Times New Roman"/>
          <w:sz w:val="21"/>
          <w:szCs w:val="21"/>
          <w:lang w:eastAsia="en-US" w:bidi="en-US"/>
        </w:rPr>
        <w:t>(</w:t>
      </w:r>
      <w:r>
        <w:rPr>
          <w:rFonts w:cs="Times New Roman" w:ascii="Times New Roman" w:hAnsi="Times New Roman"/>
          <w:sz w:val="21"/>
          <w:szCs w:val="21"/>
          <w:lang w:val="en-US" w:eastAsia="en-US" w:bidi="en-US"/>
        </w:rPr>
        <w:t>Internet</w:t>
      </w:r>
      <w:r>
        <w:rPr>
          <w:rFonts w:cs="Times New Roman" w:ascii="Times New Roman" w:hAnsi="Times New Roman"/>
          <w:sz w:val="21"/>
          <w:szCs w:val="21"/>
          <w:lang w:eastAsia="en-US" w:bidi="en-US"/>
        </w:rPr>
        <w:t xml:space="preserve"> </w:t>
      </w:r>
      <w:r>
        <w:rPr>
          <w:rFonts w:cs="Times New Roman" w:ascii="Times New Roman" w:hAnsi="Times New Roman"/>
          <w:sz w:val="21"/>
          <w:szCs w:val="21"/>
          <w:lang w:val="en-US" w:eastAsia="en-US" w:bidi="en-US"/>
        </w:rPr>
        <w:t>Explorer</w:t>
      </w:r>
      <w:r>
        <w:rPr>
          <w:rFonts w:cs="Times New Roman" w:ascii="Times New Roman" w:hAnsi="Times New Roman"/>
          <w:sz w:val="21"/>
          <w:szCs w:val="21"/>
          <w:lang w:eastAsia="en-US" w:bidi="en-US"/>
        </w:rPr>
        <w:t xml:space="preserve">, </w:t>
      </w:r>
      <w:r>
        <w:rPr>
          <w:rFonts w:cs="Times New Roman" w:ascii="Times New Roman" w:hAnsi="Times New Roman"/>
          <w:sz w:val="21"/>
          <w:szCs w:val="21"/>
          <w:lang w:val="en-US" w:eastAsia="en-US" w:bidi="en-US"/>
        </w:rPr>
        <w:t>Yandex</w:t>
      </w:r>
      <w:r>
        <w:rPr>
          <w:rFonts w:cs="Times New Roman" w:ascii="Times New Roman" w:hAnsi="Times New Roman"/>
          <w:sz w:val="21"/>
          <w:szCs w:val="21"/>
          <w:lang w:eastAsia="en-US" w:bidi="en-US"/>
        </w:rPr>
        <w:t xml:space="preserve"> </w:t>
      </w:r>
      <w:r>
        <w:rPr>
          <w:rFonts w:cs="Times New Roman" w:ascii="Times New Roman" w:hAnsi="Times New Roman"/>
          <w:sz w:val="21"/>
          <w:szCs w:val="21"/>
          <w:lang w:val="en-US" w:eastAsia="en-US" w:bidi="en-US"/>
        </w:rPr>
        <w:t>Browser</w:t>
      </w:r>
      <w:r>
        <w:rPr>
          <w:rFonts w:cs="Times New Roman" w:ascii="Times New Roman" w:hAnsi="Times New Roman"/>
          <w:sz w:val="21"/>
          <w:szCs w:val="21"/>
          <w:lang w:eastAsia="en-US" w:bidi="en-US"/>
        </w:rPr>
        <w:t xml:space="preserve">, </w:t>
      </w:r>
      <w:r>
        <w:rPr>
          <w:rFonts w:cs="Times New Roman" w:ascii="Times New Roman" w:hAnsi="Times New Roman"/>
          <w:sz w:val="21"/>
          <w:szCs w:val="21"/>
          <w:lang w:val="en-US" w:eastAsia="en-US" w:bidi="en-US"/>
        </w:rPr>
        <w:t>Opera</w:t>
      </w:r>
      <w:r>
        <w:rPr>
          <w:rFonts w:cs="Times New Roman" w:ascii="Times New Roman" w:hAnsi="Times New Roman"/>
          <w:sz w:val="21"/>
          <w:szCs w:val="21"/>
          <w:lang w:eastAsia="en-US" w:bidi="en-US"/>
        </w:rPr>
        <w:t xml:space="preserve">, </w:t>
      </w:r>
      <w:r>
        <w:rPr>
          <w:rFonts w:cs="Times New Roman" w:ascii="Times New Roman" w:hAnsi="Times New Roman"/>
          <w:sz w:val="21"/>
          <w:szCs w:val="21"/>
          <w:lang w:val="en-US" w:eastAsia="en-US" w:bidi="en-US"/>
        </w:rPr>
        <w:t>FireFox</w:t>
      </w:r>
      <w:r>
        <w:rPr>
          <w:rFonts w:cs="Times New Roman" w:ascii="Times New Roman" w:hAnsi="Times New Roman"/>
          <w:sz w:val="21"/>
          <w:szCs w:val="21"/>
          <w:lang w:eastAsia="en-US" w:bidi="en-US"/>
        </w:rPr>
        <w:t xml:space="preserve">, </w:t>
      </w:r>
      <w:r>
        <w:rPr>
          <w:rFonts w:cs="Times New Roman" w:ascii="Times New Roman" w:hAnsi="Times New Roman"/>
          <w:sz w:val="21"/>
          <w:szCs w:val="21"/>
          <w:lang w:val="en-US" w:eastAsia="en-US" w:bidi="en-US"/>
        </w:rPr>
        <w:t>Google</w:t>
      </w:r>
      <w:r>
        <w:rPr>
          <w:rFonts w:cs="Times New Roman" w:ascii="Times New Roman" w:hAnsi="Times New Roman"/>
          <w:sz w:val="21"/>
          <w:szCs w:val="21"/>
          <w:lang w:eastAsia="en-US" w:bidi="en-US"/>
        </w:rPr>
        <w:t xml:space="preserve"> </w:t>
      </w:r>
      <w:r>
        <w:rPr>
          <w:rFonts w:cs="Times New Roman" w:ascii="Times New Roman" w:hAnsi="Times New Roman"/>
          <w:sz w:val="21"/>
          <w:szCs w:val="21"/>
          <w:lang w:val="en-US" w:eastAsia="en-US" w:bidi="en-US"/>
        </w:rPr>
        <w:t>Chrome</w:t>
      </w:r>
      <w:r>
        <w:rPr>
          <w:rFonts w:cs="Times New Roman" w:ascii="Times New Roman" w:hAnsi="Times New Roman"/>
          <w:sz w:val="21"/>
          <w:szCs w:val="21"/>
          <w:lang w:eastAsia="en-US" w:bidi="en-US"/>
        </w:rPr>
        <w:t xml:space="preserve"> </w:t>
      </w:r>
      <w:r>
        <w:rPr>
          <w:rFonts w:cs="Times New Roman" w:ascii="Times New Roman" w:hAnsi="Times New Roman"/>
          <w:sz w:val="21"/>
          <w:szCs w:val="21"/>
        </w:rPr>
        <w:t>и аналогичные) для доступа к информационным ресурсам, находящихся в сети Интернет, иные программы для обработки предоставляемого Лицензиара материала (программы для воспроизведения аудиовизуальных произведений, видеоматериалов, просмотра фотографий и графического материала и любые иные программы, которые могут потребоваться для обработки предоставляемого Лицензиаром материала). Лицензиат обязуется самостоятельно обеспечить наличие ПО на своем персональном компьютере или ином устройстве, посредством которого он осуществляет коммуникацию в сети Интернет.</w:t>
      </w:r>
    </w:p>
    <w:p>
      <w:pPr>
        <w:pStyle w:val="12"/>
        <w:numPr>
          <w:ilvl w:val="2"/>
          <w:numId w:val="1"/>
        </w:numPr>
        <w:tabs>
          <w:tab w:val="clear" w:pos="708"/>
          <w:tab w:val="left" w:pos="673" w:leader="none"/>
        </w:tabs>
        <w:spacing w:before="0" w:after="200"/>
        <w:contextualSpacing/>
        <w:jc w:val="both"/>
        <w:rPr>
          <w:rFonts w:ascii="Times New Roman" w:hAnsi="Times New Roman" w:cs="Times New Roman"/>
          <w:sz w:val="21"/>
          <w:szCs w:val="21"/>
        </w:rPr>
      </w:pPr>
      <w:r>
        <w:rPr>
          <w:rFonts w:cs="Times New Roman" w:ascii="Times New Roman" w:hAnsi="Times New Roman"/>
          <w:b/>
          <w:bCs/>
          <w:sz w:val="21"/>
          <w:szCs w:val="21"/>
        </w:rPr>
        <w:t>Платформа</w:t>
      </w:r>
      <w:r>
        <w:rPr>
          <w:rFonts w:cs="Times New Roman" w:ascii="Times New Roman" w:hAnsi="Times New Roman"/>
          <w:sz w:val="21"/>
          <w:szCs w:val="21"/>
        </w:rPr>
        <w:t xml:space="preserve"> - программно-аппаратные средства, интегрированные с Сайтом Лицензиара на основании предоставленной ограниченной неисключительной лицензии. </w:t>
      </w:r>
    </w:p>
    <w:p>
      <w:pPr>
        <w:pStyle w:val="12"/>
        <w:numPr>
          <w:ilvl w:val="2"/>
          <w:numId w:val="1"/>
        </w:numPr>
        <w:tabs>
          <w:tab w:val="clear" w:pos="708"/>
          <w:tab w:val="left" w:pos="658" w:leader="none"/>
        </w:tabs>
        <w:spacing w:before="0" w:after="200"/>
        <w:contextualSpacing/>
        <w:jc w:val="both"/>
        <w:rPr>
          <w:rFonts w:ascii="Times New Roman" w:hAnsi="Times New Roman" w:cs="Times New Roman"/>
          <w:sz w:val="21"/>
          <w:szCs w:val="21"/>
        </w:rPr>
      </w:pPr>
      <w:r>
        <w:rPr>
          <w:rFonts w:cs="Times New Roman" w:ascii="Times New Roman" w:hAnsi="Times New Roman"/>
          <w:b/>
          <w:bCs/>
          <w:sz w:val="21"/>
          <w:szCs w:val="21"/>
        </w:rPr>
        <w:t>Личный кабинет</w:t>
      </w:r>
      <w:r>
        <w:rPr>
          <w:rFonts w:cs="Times New Roman" w:ascii="Times New Roman" w:hAnsi="Times New Roman"/>
          <w:sz w:val="21"/>
          <w:szCs w:val="21"/>
        </w:rPr>
        <w:t xml:space="preserve"> - персональный раздел Платформы, к которому Лицензиат получает доступ после прохождения регистрации и/или авторизации на Платформе. </w:t>
      </w:r>
    </w:p>
    <w:p>
      <w:pPr>
        <w:pStyle w:val="12"/>
        <w:tabs>
          <w:tab w:val="clear" w:pos="708"/>
          <w:tab w:val="left" w:pos="778"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numPr>
          <w:ilvl w:val="0"/>
          <w:numId w:val="1"/>
        </w:numPr>
        <w:tabs>
          <w:tab w:val="clear" w:pos="708"/>
          <w:tab w:val="left" w:pos="318" w:leader="none"/>
        </w:tabs>
        <w:spacing w:before="0" w:after="200"/>
        <w:contextualSpacing/>
        <w:rPr>
          <w:rFonts w:ascii="Times New Roman" w:hAnsi="Times New Roman" w:cs="Times New Roman"/>
          <w:b/>
          <w:bCs/>
          <w:sz w:val="21"/>
          <w:szCs w:val="21"/>
        </w:rPr>
      </w:pPr>
      <w:r>
        <w:rPr>
          <w:rFonts w:cs="Times New Roman" w:ascii="Times New Roman" w:hAnsi="Times New Roman"/>
          <w:b/>
          <w:bCs/>
          <w:sz w:val="21"/>
          <w:szCs w:val="21"/>
        </w:rPr>
        <w:t>Предмет договора</w:t>
      </w:r>
    </w:p>
    <w:p>
      <w:pPr>
        <w:pStyle w:val="12"/>
        <w:numPr>
          <w:ilvl w:val="1"/>
          <w:numId w:val="1"/>
        </w:numPr>
        <w:tabs>
          <w:tab w:val="clear" w:pos="708"/>
          <w:tab w:val="left" w:pos="433"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Предметом настоящего Договора является предоставление Лицензиаром неисключительных прав использования функций Программы (далее - Доступ к Программе) Лицензиату на условиях простой (неисключительной) лицензии для самостоятельного использования Лицензиатом без права сублицензирования третьим лицам в соответствии с выбранным Лицензиатом Тарифным планом. Также Лицензиар оказывает услуги настройке и маркетинговому сопровождению.</w:t>
      </w:r>
    </w:p>
    <w:p>
      <w:pPr>
        <w:pStyle w:val="12"/>
        <w:numPr>
          <w:ilvl w:val="1"/>
          <w:numId w:val="1"/>
        </w:numPr>
        <w:tabs>
          <w:tab w:val="clear" w:pos="708"/>
          <w:tab w:val="left" w:pos="433"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Срок предоставления Лицензиату Доступа к Программе составляет оплаченный Лицензиатом в соответствии с тарифами период времени.</w:t>
      </w:r>
    </w:p>
    <w:p>
      <w:pPr>
        <w:pStyle w:val="12"/>
        <w:numPr>
          <w:ilvl w:val="1"/>
          <w:numId w:val="1"/>
        </w:numPr>
        <w:tabs>
          <w:tab w:val="clear" w:pos="708"/>
          <w:tab w:val="left" w:pos="433"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w:t>
      </w:r>
      <w:r>
        <w:rPr>
          <w:rFonts w:cs="Times New Roman" w:ascii="Times New Roman" w:hAnsi="Times New Roman"/>
          <w:sz w:val="21"/>
          <w:szCs w:val="21"/>
        </w:rPr>
        <w:t>Неисключительное право Доступа к Программе предоставляется на территории Российской Федерации.</w:t>
      </w:r>
    </w:p>
    <w:p>
      <w:pPr>
        <w:pStyle w:val="12"/>
        <w:numPr>
          <w:ilvl w:val="1"/>
          <w:numId w:val="1"/>
        </w:numPr>
        <w:tabs>
          <w:tab w:val="clear" w:pos="708"/>
          <w:tab w:val="left" w:pos="433"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Лицензиар оказывает Лицензиату услуги по технической поддержке использования Программы.</w:t>
      </w:r>
    </w:p>
    <w:p>
      <w:pPr>
        <w:pStyle w:val="12"/>
        <w:numPr>
          <w:ilvl w:val="1"/>
          <w:numId w:val="1"/>
        </w:numPr>
        <w:tabs>
          <w:tab w:val="clear" w:pos="708"/>
          <w:tab w:val="left" w:pos="486"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 xml:space="preserve">Темы, программы, стоимость и форма регистрации размещены на странице (сайте) Лицензиара. А также на других страницах домена </w:t>
      </w:r>
      <w:r>
        <w:rPr>
          <w:rFonts w:cs="Times New Roman" w:ascii="Times New Roman" w:hAnsi="Times New Roman"/>
          <w:sz w:val="21"/>
          <w:szCs w:val="21"/>
          <w:lang w:val="en-US" w:eastAsia="en-US" w:bidi="en-US"/>
        </w:rPr>
        <w:t>winwinland</w:t>
      </w:r>
      <w:r>
        <w:rPr>
          <w:rFonts w:cs="Times New Roman" w:ascii="Times New Roman" w:hAnsi="Times New Roman"/>
          <w:sz w:val="21"/>
          <w:szCs w:val="21"/>
          <w:lang w:eastAsia="en-US" w:bidi="en-US"/>
        </w:rPr>
        <w:t>.</w:t>
      </w:r>
      <w:r>
        <w:rPr>
          <w:rFonts w:cs="Times New Roman" w:ascii="Times New Roman" w:hAnsi="Times New Roman"/>
          <w:sz w:val="21"/>
          <w:szCs w:val="21"/>
          <w:lang w:val="en-US" w:eastAsia="en-US" w:bidi="en-US"/>
        </w:rPr>
        <w:t>ru</w:t>
      </w:r>
    </w:p>
    <w:p>
      <w:pPr>
        <w:pStyle w:val="12"/>
        <w:spacing w:before="0" w:after="200"/>
        <w:ind w:firstLine="720"/>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numPr>
          <w:ilvl w:val="0"/>
          <w:numId w:val="1"/>
        </w:numPr>
        <w:tabs>
          <w:tab w:val="clear" w:pos="708"/>
          <w:tab w:val="left" w:pos="279" w:leader="none"/>
        </w:tabs>
        <w:spacing w:before="0" w:after="200"/>
        <w:contextualSpacing/>
        <w:rPr>
          <w:rFonts w:ascii="Times New Roman" w:hAnsi="Times New Roman" w:cs="Times New Roman"/>
          <w:b/>
          <w:bCs/>
          <w:sz w:val="21"/>
          <w:szCs w:val="21"/>
        </w:rPr>
      </w:pPr>
      <w:r>
        <w:rPr>
          <w:rFonts w:cs="Times New Roman" w:ascii="Times New Roman" w:hAnsi="Times New Roman"/>
          <w:b/>
          <w:bCs/>
          <w:sz w:val="21"/>
          <w:szCs w:val="21"/>
        </w:rPr>
        <w:t>Права и обязанности сторон</w:t>
      </w:r>
    </w:p>
    <w:p>
      <w:pPr>
        <w:pStyle w:val="12"/>
        <w:numPr>
          <w:ilvl w:val="1"/>
          <w:numId w:val="1"/>
        </w:numPr>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Лицензиар обязуется:</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3.1.1. Предоставить Лицензиату после оплаты выбранного Лицензиатом тарифного плана информацию (адрес сервера, имя учетной записи, пароль), необходимую для Доступа к Программе через сеть Интернет.</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 xml:space="preserve">3.1.2. Публиковать изменения в Тарифных планах на сайте по адресу: </w:t>
      </w:r>
      <w:r>
        <w:fldChar w:fldCharType="begin"/>
      </w:r>
      <w:r>
        <w:rPr>
          <w:rStyle w:val="Hyperlink"/>
          <w:sz w:val="21"/>
          <w:szCs w:val="21"/>
          <w:rFonts w:cs="Times New Roman" w:ascii="Times New Roman" w:hAnsi="Times New Roman"/>
        </w:rPr>
        <w:instrText xml:space="preserve"> HYPERLINK "https://winwinland.ru/" \l "rates"</w:instrText>
      </w:r>
      <w:r>
        <w:rPr>
          <w:rStyle w:val="Hyperlink"/>
          <w:sz w:val="21"/>
          <w:szCs w:val="21"/>
          <w:rFonts w:cs="Times New Roman" w:ascii="Times New Roman" w:hAnsi="Times New Roman"/>
        </w:rPr>
        <w:fldChar w:fldCharType="separate"/>
      </w:r>
      <w:r>
        <w:rPr>
          <w:rStyle w:val="Hyperlink"/>
          <w:rFonts w:cs="Times New Roman" w:ascii="Times New Roman" w:hAnsi="Times New Roman"/>
          <w:sz w:val="21"/>
          <w:szCs w:val="21"/>
        </w:rPr>
        <w:t>https://winwinland.ru/#rates</w:t>
      </w:r>
      <w:r>
        <w:rPr>
          <w:rStyle w:val="Hyperlink"/>
          <w:sz w:val="21"/>
          <w:szCs w:val="21"/>
          <w:rFonts w:cs="Times New Roman" w:ascii="Times New Roman" w:hAnsi="Times New Roman"/>
        </w:rPr>
        <w:fldChar w:fldCharType="end"/>
      </w:r>
      <w:r>
        <w:rPr>
          <w:rFonts w:cs="Times New Roman" w:ascii="Times New Roman" w:hAnsi="Times New Roman"/>
          <w:sz w:val="21"/>
          <w:szCs w:val="21"/>
        </w:rPr>
        <w:t xml:space="preserve"> не менее чем за 10 (десять) дней до начала их действия. Своевременно извещать Лицензиата по электронной почте обо всех ситуациях, требующих дополнительного согласования.</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 xml:space="preserve">3.1.3. В случае изменения реквизитов, включая банковские, незамедлительно уведомлять об этом Лицензиата по электронной почте и опубликовав на сайте Лицензиара по адресу: </w:t>
      </w:r>
      <w:hyperlink r:id="rId4">
        <w:r>
          <w:rPr>
            <w:rStyle w:val="Hyperlink"/>
            <w:rFonts w:cs="Times New Roman" w:ascii="Times New Roman" w:hAnsi="Times New Roman"/>
            <w:sz w:val="21"/>
            <w:szCs w:val="21"/>
          </w:rPr>
          <w:t>https://winwinland.ru/</w:t>
        </w:r>
      </w:hyperlink>
      <w:r>
        <w:rPr>
          <w:rFonts w:cs="Times New Roman" w:ascii="Times New Roman" w:hAnsi="Times New Roman"/>
          <w:sz w:val="21"/>
          <w:szCs w:val="21"/>
        </w:rPr>
        <w:t xml:space="preserve"> </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3.1.4. Предоставить Лицензиату Доступ к Программе в соответствии с условиями настоящего Договора и выбранного Тарифного плана, при условии оплаты Лицензиатом срока предоставления Доступа к Программе в соответствии с настоящим Договором.</w:t>
      </w:r>
    </w:p>
    <w:p>
      <w:pPr>
        <w:pStyle w:val="12"/>
        <w:numPr>
          <w:ilvl w:val="1"/>
          <w:numId w:val="1"/>
        </w:numPr>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Лицензиар вправе:</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3.2.1. После окончания оплаченного периода в соответствии с выбранным Лицензиатом тарифным планом приостановить Доступ к Программе. В случае приостановки Доступа к Программе из-за несвоевременной оплаты Лицензиар сохраняет материалы Лицензиата в течение 30 (тридцати) календарных дней. Предоставление Доступа к Программе может быть возобновлено при поступлении оплаты за весь период приостановки Доступа к Программе и предоплаты за следующий период предоставления Доступа к Программе согласно выбранному Лицензиатом Тарифному плану. После истечения данного срока Лицензиар вправе полностью удалить материалы Лицензиата.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 xml:space="preserve">3.2.2. Изменять Тарифные планы, без предварительного согласования с Лицензиатом, при этом обеспечивая публикацию измененных Тарифных планов на сайте по адресу: </w:t>
      </w:r>
      <w:r>
        <w:fldChar w:fldCharType="begin"/>
      </w:r>
      <w:r>
        <w:rPr>
          <w:rStyle w:val="Hyperlink"/>
          <w:sz w:val="21"/>
          <w:szCs w:val="21"/>
          <w:rFonts w:cs="Times New Roman" w:ascii="Times New Roman" w:hAnsi="Times New Roman"/>
        </w:rPr>
        <w:instrText xml:space="preserve"> HYPERLINK "https://winwinland.ru/" \l "rates"</w:instrText>
      </w:r>
      <w:r>
        <w:rPr>
          <w:rStyle w:val="Hyperlink"/>
          <w:sz w:val="21"/>
          <w:szCs w:val="21"/>
          <w:rFonts w:cs="Times New Roman" w:ascii="Times New Roman" w:hAnsi="Times New Roman"/>
        </w:rPr>
        <w:fldChar w:fldCharType="separate"/>
      </w:r>
      <w:r>
        <w:rPr>
          <w:rStyle w:val="Hyperlink"/>
          <w:rFonts w:cs="Times New Roman" w:ascii="Times New Roman" w:hAnsi="Times New Roman"/>
          <w:sz w:val="21"/>
          <w:szCs w:val="21"/>
        </w:rPr>
        <w:t>https://winwinland.ru/#rates</w:t>
      </w:r>
      <w:r>
        <w:rPr>
          <w:rStyle w:val="Hyperlink"/>
          <w:sz w:val="21"/>
          <w:szCs w:val="21"/>
          <w:rFonts w:cs="Times New Roman" w:ascii="Times New Roman" w:hAnsi="Times New Roman"/>
        </w:rPr>
        <w:fldChar w:fldCharType="end"/>
      </w:r>
      <w:r>
        <w:rPr>
          <w:rFonts w:cs="Times New Roman" w:ascii="Times New Roman" w:hAnsi="Times New Roman"/>
          <w:sz w:val="21"/>
          <w:szCs w:val="21"/>
        </w:rPr>
        <w:t xml:space="preserve"> не менее чем за 10 (десять) дней до начала действия изменений.</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3.2.3. Приостановить Доступ к Программе в следующих случаях:</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3.2.3.1. Лицензиат, используя Программу создает угрозу безопасности и обороноспособности РФ, здоровью и безопасности людей на территории РФ;</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3.2.3.2. Лицензиат отказывается от оплаты Доступа к Программе или отказывается от выполнения условий предоставления Доступа к Программе;</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3.2.3.3. Лицензиат или конечный пользователь Программы, используют Программу незаконно или незаконным способом, нанося тем самым ущерб Лицензиару или третьим лицам.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3.2.3.4. Лицензиат или конечный пользователь Программы, использует Программу для рассылки массовой не запрошенной корреспонденции (СПАМ) для рекламы своих товаров и услуг.</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3.2.3.5. Проверять соблюдение Лицензиатом условий использования Программы, предусмотренных настоящим Договором, в частности, указанных в пункте 4.2.3 настоящего Договора.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3.2.3.4. По своему усмотрению нанимать специалистов и привлекать подрядчиков, задействованных в предоставлении Услуг по настоящему Договору.</w:t>
      </w:r>
    </w:p>
    <w:p>
      <w:pPr>
        <w:pStyle w:val="12"/>
        <w:numPr>
          <w:ilvl w:val="1"/>
          <w:numId w:val="1"/>
        </w:numPr>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Лицензиат вправе:</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3.3.1. Использовать программу в предусмотренном настоящим Договором пределах.</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3.3.2. Отказаться от Доступа к Программе в течение срока действия настоящего Договора, при этом денежные средства за Доступ к Программе, оплаченный Лицензиатом по выбранному Тарифному плану, не возвращается.</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3.3.3. Пользоваться услугами технической поддержки в порядке и на условиях, определенных настоящим договором.</w:t>
      </w:r>
    </w:p>
    <w:p>
      <w:pPr>
        <w:pStyle w:val="12"/>
        <w:numPr>
          <w:ilvl w:val="1"/>
          <w:numId w:val="1"/>
        </w:numPr>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Лицензиат обязуется:</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3.4.1. Внимательно ознакомиться с условиями настоящего Договора, включая Тарифные планы, до момента заключения Договора.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3.4.2. Выполнять условия и требования, изложенные в настоящем Договоре.</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3.4.3. Своевременно, в соответствии с условиями настоящего Договора, оплачивать Доступ к Программе в соответствии с выбранным Тарифным планом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3.4.4. Не передавать Доступ к Программе какому-либо третьему лицу без письменного согласия Лицензиара.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3.4.5. В случае изменения контактных данных, почтового адреса, адреса места расположения, наименования и реквизитов организации, банковских реквизитов и другой значимой информации, незамедлительно уведомить Лицензиара любым доступным способом, а также выслать письменное уведомление с печатью и подписью руководителя организации.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3.4.6. Назначить Представителя Лицензиата и сообщить Лицензиару его контактные данные. Уполномочить данного представителя получать консультации и давать поручения, обращаться в службу технический поддержки Лицензиара по предусмотренным настоящим Договором способом связи, а также получать от Лицензиара и передавать Лицензиару реквизиты доступа (пароли) и полномочия в программах для ЭВМ и на технических площадках, не обходимых для правильной работы Программы. Сообщить контактные данные для передачи информации (адрес сервера, имя учетной записи, пароль) необходимой для Доступа к Программе.</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3.4.7.  Не загружать, не хранить, не публиковать, не распространять информацию с помощью Программы, которая:</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3.4.7.1. Пропагандирует и/или способствует разжиганию расовой, религиозной, национальной, этнической ненависти или вражды.</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3.4.7.2. Пропагандирует культ насилия и жестокости.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3.4.7.3. Содержит экстремистские материалы.</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3.4.7.4. Содержит порнографию и/или тексты или сцены сексуального характера.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3.4.7.5. Пропагандирует преступную деятельность или содержит советы, инструкции или руководства по совершению преступных действий.</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3.4.7.6. Пропагандирует или описывает привлекательность употребления наркотических веществ, информацию о распространении наркотиков, рецепты их изготовления и советы по употреблению.</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3.4.7.7. Нарушает неприкосновенность частной жизни третьих лиц.</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3.4.7.8. Порочит честь, достоинство, деловую репутацию других лиц.</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3.4.7.9. Содержит информацию ограниченного доступа, включая, но не ограничиваясь государственной и коммерческой тайной, информацией о частной жизни третьих лиц.</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3.4.7.10. Носит мошеннический характер.</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3.4.7.11. Содержит клевету, грубые и оскорбительные выражения и предложения.</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3.4.7.12. Нарушает другие права третьих лиц, в том числе интеллектуальные права.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3.4.7.13. Нарушает действующее законодательство Российской Федерации.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3.4.8. Не загружать, не посылать, не передавать или любым другим способом, не размещать и/или не распространять информацию и материалы через Программу, при отсутствии прав на такие действия, согласно законодательству Российской Федерации или каким-либо договорным отношениям.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3.4.9. Не изменять, не адаптировать, не сублицензировать, не переводить, не продавать, не реконструировать, не расшифровывать, не декомпилировать и иным образом не разбирать какую-либо часть Программы, а также не побуждать других к таким действиям.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3.4.10. Не использовать и/или не разрабатывать любые сторонние программы для ЭВМ, которые взаимодействуют с Программой без письменного согласия Лицензиара.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3.4.11. Не исследовать, не сканировать и не тестировать уязвимость Программы.</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3.4.12. Не нарушать нормальной работы Программы.</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3.4.13. Нести полную и единоличную ответственность за любую деятельность Лицензиата или конечных пользователей с использованием Программы.</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tabs>
          <w:tab w:val="clear" w:pos="708"/>
          <w:tab w:val="left" w:pos="447" w:leader="none"/>
        </w:tabs>
        <w:spacing w:before="0" w:after="200"/>
        <w:contextualSpacing/>
        <w:jc w:val="both"/>
        <w:rPr>
          <w:rFonts w:ascii="Times New Roman" w:hAnsi="Times New Roman" w:cs="Times New Roman"/>
          <w:b/>
          <w:bCs/>
          <w:sz w:val="21"/>
          <w:szCs w:val="21"/>
        </w:rPr>
      </w:pPr>
      <w:r>
        <w:rPr>
          <w:rFonts w:cs="Times New Roman" w:ascii="Times New Roman" w:hAnsi="Times New Roman"/>
          <w:b/>
          <w:bCs/>
          <w:sz w:val="21"/>
          <w:szCs w:val="21"/>
        </w:rPr>
        <w:t>4. Гарантии Сторон</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4.1. Лицензиар гарантирует, что:</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4.1.1. В течение срока действия настоящего Договора Лицензиар предпримет все усилия для устранения технических сбоев и ошибок, в случае их возникновения при использовании Лицензиатом Программы. При этом Лицензиар не гарантирует полного отсутствия технических ошибок и сбоев по причинам, вызванным неисправностью оборудования и другим причинам.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4.1.2. В случае если технический сбой или программная ошибка в Программе, делают полностью невозможным использование Программы Лицензиатом более чем на 48 часов с момента уведомления Лицензиара, по письменному требованию Лицензиата направленному Лицензиару заказанным письмом с уведомлением о вручении, Лицензиату может быть возвращена плата за выбранный Тарифный план за период невозможности использования Программы, но не более, чем за 20 календарных дней.</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4.1.3. В случае если технический сбой или программная ошибка в Программе, позволяют Лицензиату продолжать использовать Программу, то время реакции Лицензиара на уведомление о техническом сбое или ошибке определяется выбранным Тарифным планом. Если программная ошибка не может быть устранена Лицензиаром оперативно, Лицензиар сообщает Лицензиату планируемое время устранения программной ошибки и, по запросу Лицензиата, рекомендует ему альтернативный способ решения его задач на время устранения программной ошибки.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4.2. За исключением гарантий, прямо указанных в п. 10.1 настоящего Договора, Лицензиар не предоставляет никаких иных прямых или косвенных гарантий по настоящему Договору.</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4.3. Лицензиат заверяет и гарантирует, что</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4.3.1. Указал достоверные персональные данные и/или реквизиты юридического лица Лицензиата при заключении настоящего Договора на Доступ к Программе и платежных документов при оплате доступа к Программе.</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4.3.2. Полностью ознакомился и понимает условия настоящего Договора;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4.3.3. Полностью понимает значение и последствия своих действий в отношении заключения и исполнения настоящего Договора.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4.3.4. Лицензиат обладает всеми правами и полномочиями, необходимыми для заключения и исполнения настоящего Договора.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4.3.5. Материалы, информация, используемые Лицензиатом в Программе, а также товары и/или услуги, на которые ссылается материалы Лицензиата, не нарушают и не влекут за собой нарушение действующего законодательства РФ и/или прав третьих лиц.</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4.3.6. Понимает и соглашается с тем, что никакая информация или советы, даваемые Лицензиаром (ответственным должностным лицом Лицензиара) по использованию Программы, не могут рассматриваться как гарантии, поскольку являются консультациями.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tabs>
          <w:tab w:val="clear" w:pos="708"/>
          <w:tab w:val="left" w:pos="447" w:leader="none"/>
        </w:tabs>
        <w:spacing w:before="0" w:after="200"/>
        <w:contextualSpacing/>
        <w:jc w:val="both"/>
        <w:rPr>
          <w:rFonts w:ascii="Times New Roman" w:hAnsi="Times New Roman" w:cs="Times New Roman"/>
          <w:b/>
          <w:bCs/>
          <w:sz w:val="21"/>
          <w:szCs w:val="21"/>
        </w:rPr>
      </w:pPr>
      <w:r>
        <w:rPr>
          <w:rFonts w:cs="Times New Roman" w:ascii="Times New Roman" w:hAnsi="Times New Roman"/>
          <w:b/>
          <w:bCs/>
          <w:sz w:val="21"/>
          <w:szCs w:val="21"/>
        </w:rPr>
        <w:t>5. Стоимость и порядок оплаты</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5.1. Стоимость Доступа к Программе определяется тарифным планом выбранным Лицензиатом.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5.2. Оплата Доступа к Программе и услуг по ее настройке по настоящему Договору осуществляется путем внесения предоплаты в размере 100% (сто процентов) от стоимости выбранного Лицензиатом Тарифного плана.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5.3. Оплата Доступа к Программе производится в безналичной форме путём перечисления денежных средств на расчётный счёт Лицензиара. Выбор и использование способа/формы оплаты Доступа к Программе производится Лицензиатом по собственному усмотрению и без предусмотренной ответственности Лицензиата. Безопасность, конфиденциальность, а также иные условия использования выбранных Лицензиатом способа/формы оплаты выходят за рамки настоящего Договора и регулируются договорами между Лицензиатом и соответствующими платежными системами и/или банками.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5.4. Лицензиат считается исполнившим обязанность по оплате Доступа к Программе по выбранному Тарифному план</w:t>
      </w:r>
      <w:r>
        <w:rPr>
          <w:rFonts w:cs="Times New Roman" w:ascii="Times New Roman" w:hAnsi="Times New Roman"/>
          <w:sz w:val="21"/>
          <w:szCs w:val="21"/>
        </w:rPr>
        <w:t>у</w:t>
      </w:r>
      <w:r>
        <w:rPr>
          <w:rFonts w:cs="Times New Roman" w:ascii="Times New Roman" w:hAnsi="Times New Roman"/>
          <w:sz w:val="21"/>
          <w:szCs w:val="21"/>
        </w:rPr>
        <w:t xml:space="preserve"> с момента зачисления денежных средств на расчётный счёт Лицензиара. </w:t>
      </w:r>
      <w:r>
        <w:rPr>
          <w:rFonts w:cs="Times New Roman" w:ascii="Times New Roman" w:hAnsi="Times New Roman"/>
          <w:sz w:val="21"/>
          <w:szCs w:val="21"/>
        </w:rPr>
        <w:t>Стоимость оплаченного тарифного плана</w:t>
      </w:r>
      <w:r>
        <w:rPr>
          <w:rFonts w:cs="Times New Roman" w:ascii="Times New Roman" w:hAnsi="Times New Roman"/>
          <w:sz w:val="21"/>
          <w:szCs w:val="21"/>
        </w:rPr>
        <w:t xml:space="preserve"> рассматрива</w:t>
      </w:r>
      <w:r>
        <w:rPr>
          <w:rFonts w:cs="Times New Roman" w:ascii="Times New Roman" w:hAnsi="Times New Roman"/>
          <w:sz w:val="21"/>
          <w:szCs w:val="21"/>
        </w:rPr>
        <w:t>е</w:t>
      </w:r>
      <w:r>
        <w:rPr>
          <w:rFonts w:cs="Times New Roman" w:ascii="Times New Roman" w:hAnsi="Times New Roman"/>
          <w:sz w:val="21"/>
          <w:szCs w:val="21"/>
        </w:rPr>
        <w:t>тся Сторонами как сумм</w:t>
      </w:r>
      <w:r>
        <w:rPr>
          <w:rFonts w:cs="Times New Roman" w:ascii="Times New Roman" w:hAnsi="Times New Roman"/>
          <w:sz w:val="21"/>
          <w:szCs w:val="21"/>
        </w:rPr>
        <w:t>а</w:t>
      </w:r>
      <w:r>
        <w:rPr>
          <w:rFonts w:cs="Times New Roman" w:ascii="Times New Roman" w:hAnsi="Times New Roman"/>
          <w:sz w:val="21"/>
          <w:szCs w:val="21"/>
        </w:rPr>
        <w:t xml:space="preserve"> фактически понесенных Лицензиар</w:t>
      </w:r>
      <w:r>
        <w:rPr>
          <w:rFonts w:cs="Times New Roman" w:ascii="Times New Roman" w:hAnsi="Times New Roman"/>
          <w:sz w:val="21"/>
          <w:szCs w:val="21"/>
        </w:rPr>
        <w:t>ом</w:t>
      </w:r>
      <w:r>
        <w:rPr>
          <w:rFonts w:cs="Times New Roman" w:ascii="Times New Roman" w:hAnsi="Times New Roman"/>
          <w:sz w:val="21"/>
          <w:szCs w:val="21"/>
        </w:rPr>
        <w:t xml:space="preserve"> расходов и фактически оказанных Услуг.</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 xml:space="preserve">5.5. Лицензиат самостоятельно несет ответственность за правильность производимых им платежей, в том числе при изменении банковских реквизитов Лицензиара, с момента передачи Лицензиату новых реквизитов путем публикации их на сайте Лицензиара </w:t>
      </w:r>
      <w:hyperlink r:id="rId5">
        <w:r>
          <w:rPr>
            <w:rStyle w:val="Hyperlink"/>
            <w:rFonts w:cs="Times New Roman" w:ascii="Times New Roman" w:hAnsi="Times New Roman"/>
            <w:sz w:val="21"/>
            <w:szCs w:val="21"/>
          </w:rPr>
          <w:t>https://winwinland.ru/</w:t>
        </w:r>
      </w:hyperlink>
      <w:r>
        <w:rPr>
          <w:rFonts w:cs="Times New Roman" w:ascii="Times New Roman" w:hAnsi="Times New Roman"/>
          <w:sz w:val="21"/>
          <w:szCs w:val="21"/>
        </w:rPr>
        <w:t xml:space="preserve"> и уведомления по электронной почте Лицензиата или Представителя Лицензиата.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5.6. Лицензиат самостоятельно оплачивает все услуги предприятий связи (или любой другой организации, предоставляющей аналогичные услуги) по доступу к сети Интернет для установления соединения с сервером, на котором размещена Программа Лицензиара.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tabs>
          <w:tab w:val="clear" w:pos="708"/>
          <w:tab w:val="left" w:pos="447" w:leader="none"/>
        </w:tabs>
        <w:spacing w:before="0" w:after="200"/>
        <w:contextualSpacing/>
        <w:jc w:val="both"/>
        <w:rPr>
          <w:rFonts w:ascii="Times New Roman" w:hAnsi="Times New Roman" w:cs="Times New Roman"/>
          <w:b/>
          <w:bCs/>
          <w:sz w:val="21"/>
          <w:szCs w:val="21"/>
        </w:rPr>
      </w:pPr>
      <w:r>
        <w:rPr>
          <w:rFonts w:cs="Times New Roman" w:ascii="Times New Roman" w:hAnsi="Times New Roman"/>
          <w:b/>
          <w:bCs/>
          <w:sz w:val="21"/>
          <w:szCs w:val="21"/>
        </w:rPr>
        <w:t>6. Порядок предоставления доступа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6.1. Программа предоставляется Лицензиату посредством выделения Лицензиаром информационных ресурсов на сервере и предоставления Лицензиату доступа к этим ресурсам через сеть Интернет, необходимого для использования программного обеспечения в соответствии с выбранным тарифным планом.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6.2. Факт предоставления Доступа к Программе и оказания услуг в соответствии с выбранным Лицензиаром Тарифным планом фиксируются в уведомлении, которое высылается Лицензиаром по адресу электронной почты Лицензиата, указанному в настоящем Договоре или при регистрации, в виде сообщения электронной почты, в котором указан адрес интернет-страницы и другие необходимые данные для входа в Программу.</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6.3. Услуга считается оказанной, а Доступ к Программе предоставленным Лицензиату без замечаний, если в течение 5 (пяти) рабочих дней с момента отправки уведомления на электронную почту с данными для доступа к Программе, Лицензиат не направит Лицензиару мотивированный отказ.</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6.4. По запросу Лицензиата, Лицензиар направляет Лицензиату Акт оказанных услуг на электронную почту или посредством электронного документооборота, в случае его использования Лицензиатом или другим согласованным сторонами способом.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tabs>
          <w:tab w:val="clear" w:pos="708"/>
          <w:tab w:val="left" w:pos="447" w:leader="none"/>
        </w:tabs>
        <w:spacing w:before="0" w:after="200"/>
        <w:contextualSpacing/>
        <w:jc w:val="both"/>
        <w:rPr>
          <w:rFonts w:ascii="Times New Roman" w:hAnsi="Times New Roman" w:cs="Times New Roman"/>
          <w:b/>
          <w:bCs/>
          <w:sz w:val="21"/>
          <w:szCs w:val="21"/>
        </w:rPr>
      </w:pPr>
      <w:r>
        <w:rPr>
          <w:rFonts w:cs="Times New Roman" w:ascii="Times New Roman" w:hAnsi="Times New Roman"/>
          <w:b/>
          <w:bCs/>
          <w:sz w:val="21"/>
          <w:szCs w:val="21"/>
        </w:rPr>
        <w:t>7. Интеллектуальная собственность</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7.1.  Все элементы Программы, в том числе элементы дизайна, текст, графические изображения, иллюстрации, видео, программы для ЭВМ, базы данных, музыка, звуки и другие объекты и любые, являются объектами исключительных прав Лицензиара.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7.2. Использование Программы, каких-либо ей элементов, возможно только в рамках функционала, предлагаемого Программой. Никакие элементы Программы, не могут быть использованы иным образом без предварительного разрешения Лицензиара. Под использованием подразумеваются, в том числе: воспроизведение, копирование, переработка, распространение на любой основе и т.д. Исключение составляют случаи, прямо предусмотренные законодательством Российской Федерации или условиями настоящего Договора.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7.3. Лицензиар предоставляет Лицензиату Доступ к Программе в целях коммуникации с клиентами Лицензиата посредством мессенджеров и при условии, что ни Лицензиат, ни любые иные лица при содействии Лицензиата не будут воспроизводить, копировать или перерабатывать(модифицировать) их, а также использовать какие-либо их части в личных или коммерческих целях.</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7.4. Никакие положения настоящего Договора не предоставляют Лицензиату право на использование логотипа, фирменного наименования, товарных знаков, доменных имен и иных отличительных обозначений Лицензиара.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 xml:space="preserve">7.5. Лицензиат предоставляет Лицензиару право на использование своего имени (наименования), логотипов, товарных знаков, коммерческих обозначений в портфолио, информационных материалах Лицензиара, а также на сайте: </w:t>
      </w:r>
      <w:hyperlink r:id="rId6">
        <w:r>
          <w:rPr>
            <w:rStyle w:val="Hyperlink"/>
            <w:rFonts w:cs="Times New Roman" w:ascii="Times New Roman" w:hAnsi="Times New Roman"/>
            <w:sz w:val="21"/>
            <w:szCs w:val="21"/>
          </w:rPr>
          <w:t>https://winwinland.ru/</w:t>
        </w:r>
      </w:hyperlink>
      <w:r>
        <w:rPr>
          <w:rFonts w:cs="Times New Roman" w:ascii="Times New Roman" w:hAnsi="Times New Roman"/>
          <w:sz w:val="21"/>
          <w:szCs w:val="21"/>
        </w:rPr>
        <w:t xml:space="preserve"> </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tabs>
          <w:tab w:val="clear" w:pos="708"/>
          <w:tab w:val="left" w:pos="447" w:leader="none"/>
        </w:tabs>
        <w:spacing w:before="0" w:after="200"/>
        <w:contextualSpacing/>
        <w:jc w:val="both"/>
        <w:rPr>
          <w:rFonts w:ascii="Times New Roman" w:hAnsi="Times New Roman" w:cs="Times New Roman"/>
          <w:b/>
          <w:bCs/>
          <w:sz w:val="21"/>
          <w:szCs w:val="21"/>
        </w:rPr>
      </w:pPr>
      <w:r>
        <w:rPr>
          <w:rFonts w:cs="Times New Roman" w:ascii="Times New Roman" w:hAnsi="Times New Roman"/>
          <w:b/>
          <w:bCs/>
          <w:sz w:val="21"/>
          <w:szCs w:val="21"/>
        </w:rPr>
        <w:t>8. Ответственность Сторон</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8.1. За невыполнение или ненадлежащее выполнение обязательств по настоящему Договору Лицензиар и Лицензиат несут ответственность в соответствии с условиями настоящего Договора и действующим законодательством Российской Федерации.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8.2. Лицензиар предоставляет Лицензиату Программу «как есть». Лицензиар не гарантирует, что Программа не содержит ошибок, а также не несет ответственности за прямые или косвенные убытки (ущерб), включая упущенную выгоду, потерю конфиденциальной информации, возникшие у Лицензиата в результате использования Программы, в том числе из-за возможных ошибок или опечаток в Программе.</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8.3. Лицензиат не гарантирует, что Программа будет соответствовать требованиям Лицензиата, а также не гарантирует работоспособность Программы совместно с программным обеспечением и оборудованием Лицензиата. Лицензиар не дает никаких гарантий относительно составляющих других программ для ЭВМ, которые могут включаться в Программы и являются собственностью третьих лиц.</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8.4. Лицензиар не гарантирует, что результат использования Программы будет соответствовать ожиданиям Лицензиата и не несёт ответственности за соответствие результата использования Программы ожиданиям Лицензиата.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8.5. Лицензиар не несет ответственности за: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8.5.1. Функционирование ЭВМ и программ Лицензиата.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8.5.2. Нарушение Лицензиата авторских и иных прав третьих лиц путем использования Лицензиатом Программы.</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8.5.3. Причинение вреда, ущерба и любых других убытков любым лицам, которые возникли при использовании Лицензиатом Программы.</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8.5.4. Задержки или сбои в процессе совершения операции, возникшие вследствие непреодолимой силы, а также любые другие случаи неполадок в информационно-телекоммуникационных сетях, ЭВМ, электрических и иных смежных системах.</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8.5.5. Действия систем переводов, банков, платежных систем и за задержки, связанные с их работой.</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8.5.6. Функционирование Программы в случае, если Лицензиат не имеет необходимого технического и/или программного оборудования для его использования, а также Лицензиар не несет никаких обязательств по обеспечению Лицензиата таким оборудованием.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8.5.7. Содержание информации и материалов Лицензиата, переданных с использованием Программы. Лицензиар не осуществляет модерацию информации и материалов, переданных Лицензиатом с использованием Программы.</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 xml:space="preserve">8.5.8. Неиспользование Лицензиатом предоставленного Лицензиаром доступа. </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8.5.9. Нарушение Лицензиатом обязанностей и запретов, установленных настоящим Договором.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8.6. Лицензиат признает, что использование Программы будет производиться им исключительно на свой страх и риск.</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8.7. Лицензиат несет ответственность за любые действия в Программе, выполненные с помощью данных, предоставленных Лицензиату для Доступа к Программе, в том числе третьими лицами.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8.8. Лицензиат самостоятельно несет ответственность за коммуникацию со своими клиентами с использованием Программы.</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8.9. Лицензиар не несет ответственность за любой ущерб, потерю прибыли, потерю дохода, потерю бизнеса, потерю данных, прямые или косвенные убытки Лицензиата, если нанесенный ущерб не вызван нарушением настоящего Договора со стороны Лицензиара.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8.10. Лицензиар не может быть привлечен к ответственности за неисправности, поломки, задержки или прерывания доступа в информационно-телекоммуникационною сеть Интернет, или если по какой-либо причине Программа недоступна в любое время или в течение какого-либо периода, за исключением случаев, прямо предусмотренных настоящим Договором.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8.11. Лицензиат несет самостоятельную ответственность за любую информацию и материалы, переданные с помощью Программы.</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8.12. Возмещение Лицензиаром любых убытков, которые Лицензиат может понести в случае умышленного неосторожного нарушения любого положения настоящего Договора, а также в следствие несанкционированного доступа к коммуникациям Лицензиата не может превышать стоимости Тарифного плана, выбранного Лицензиаром.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8.13. В случае предъявления к Лицензиару требований по факту незаконного использования информации и материалов, переданных Лицензиатом с помощью Программы, исключительные права на которые принадлежат третьим лицам, Лицензиат предпринимает все необходимые меры для урегулирования возникшего спора своими силами и за свой счет. В качестве надлежащих мер стороны определили следующие: оперативное взаимодействие с третьими лицами и/или представителями третьих лиц – правообладателей, направление в адрес правообладателей уведомлений, содержащих обоснованные письменные объяснения, в том числе об отсутствии вины Лицензиара, при необходимости организация переговоров, встреч, участие в переговорах и встречах с правообладателями (или) их представителями. Достаточность предпринятых Лицензиатом мер для урегулирования споров, связанных с нарушением исключительных прав третьих лиц определяется Лицензиаром. Лицензиат соглашается с таким порядком.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tabs>
          <w:tab w:val="clear" w:pos="708"/>
          <w:tab w:val="left" w:pos="447" w:leader="none"/>
        </w:tabs>
        <w:spacing w:before="0" w:after="200"/>
        <w:contextualSpacing/>
        <w:jc w:val="both"/>
        <w:rPr>
          <w:rFonts w:ascii="Times New Roman" w:hAnsi="Times New Roman" w:cs="Times New Roman"/>
          <w:b/>
          <w:bCs/>
          <w:sz w:val="21"/>
          <w:szCs w:val="21"/>
        </w:rPr>
      </w:pPr>
      <w:r>
        <w:rPr>
          <w:rFonts w:cs="Times New Roman" w:ascii="Times New Roman" w:hAnsi="Times New Roman"/>
          <w:b/>
          <w:bCs/>
          <w:sz w:val="21"/>
          <w:szCs w:val="21"/>
        </w:rPr>
        <w:t>9. Обстоятельства непреодолимой силы (форс-мажор)</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9.1. Каждая из сторон освобождается от ответственности за частичное или полное неисполнение обязательств по настоящему Договору, если она докажет, что оно явилось следствием обстоятельств непреодолимой силы, возникших после заключения настоящего Договора в результате событий чрезвычайного характера, таких как: пожар, взрыв, наводнение, землетрясение, забастовка, боевые действия, постановления Правительства или Президента Российской Федерации, федеральных и местных органов власти и других обстоятельств непреодолимой силы, которые сторона не могла ни предвидеть, ни предотвратить, ни принять обстоятельства в расчет при заключении настоящего Договора.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9.2. Освобождение от ответственности действует лишь на тот период, в течение которого существуют данные обстоятельства непреодолимой силы и их последствия.</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9.3. При наступлении и прекращении обстоятельств непреодолимой силы сторона должна без промедления известить о них в письменной форме другую сторону.</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9.4. Извещение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возможность исполнения стороной своих обязательств по настоящему Договору, а также предполагаемый срок его исполнения.</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9.5. Наличие обстоятельств непреодолимой силы, их влияние и продолжительность действия должны быть подтверждены документально должностным лицом компетентного органа или представителем стороны.</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9.6. В вышеуказанных случаях срок исполнения сторонами обязательств по настоящему Договору увеличивается соразмерно времени, в течение которого действуют такие обстоятельства и их последствия.</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9.7. Если наступившие обстоятельства непреодолимой силы и их последствия продолжают действовать более двух месяцев, то стороны проводят дополнительные переговоры для выявления приемлемых альтернативных способов исполнения настоящего Договора.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tabs>
          <w:tab w:val="clear" w:pos="708"/>
          <w:tab w:val="left" w:pos="447" w:leader="none"/>
        </w:tabs>
        <w:spacing w:before="0" w:after="200"/>
        <w:contextualSpacing/>
        <w:jc w:val="both"/>
        <w:rPr>
          <w:rFonts w:ascii="Times New Roman" w:hAnsi="Times New Roman" w:cs="Times New Roman"/>
          <w:b/>
          <w:bCs/>
          <w:sz w:val="21"/>
          <w:szCs w:val="21"/>
        </w:rPr>
      </w:pPr>
      <w:r>
        <w:rPr>
          <w:rFonts w:cs="Times New Roman" w:ascii="Times New Roman" w:hAnsi="Times New Roman"/>
          <w:b/>
          <w:bCs/>
          <w:sz w:val="21"/>
          <w:szCs w:val="21"/>
        </w:rPr>
        <w:t>10. Конфиденциальность</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10.1. Стороны договорились сохранять в режиме конфиденциальности любые сведения, полученные одной стороной в отношении другой в ходе исполнения обязательств по настоящему Договору.</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10.2. К информации, признаваемой в соответствии с настоящим Договором конфиденциальной, не могут относиться сведения, являющиеся в соответствии с требованиями российского законодательства общедоступными, в том числе лицензии.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10.3. За нарушение режима конфиденциальности по настоящему Договору сторона, совершившая подобное нарушение, обязана возместить другой стороне возникшие у нее, в связи с этим нарушением понесенные прямые убытки.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10.4. Положения настоящей статьи не распространяются на случаи, когда любая из сторон по настоящему Договору обязана разгласить конфиденциальную информацию компетентным органам в соответствии с требованиями законодательства.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10.5. В целях соблюдения установленного режима конфиденциальности Стороны договорились о том, что в случае изменения Представителя Лицензиата или необходимости прекращения его полномочий, Лицензиат обязуется незамедлительно оповестить об этом Лицензиара по телефону, а затем направить письменное уведомление, с указанием контактных данных нового Представителя Лицензиата, уполномоченного быть контактным лицом по настоящему Договору. Датой прекращения действия полномочий предыдущего представителя и началом нового считается дата получения письменного уведомления.</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tabs>
          <w:tab w:val="clear" w:pos="708"/>
          <w:tab w:val="left" w:pos="447" w:leader="none"/>
        </w:tabs>
        <w:spacing w:before="0" w:after="200"/>
        <w:contextualSpacing/>
        <w:jc w:val="both"/>
        <w:rPr>
          <w:rFonts w:ascii="Times New Roman" w:hAnsi="Times New Roman" w:cs="Times New Roman"/>
          <w:b/>
          <w:bCs/>
          <w:sz w:val="21"/>
          <w:szCs w:val="21"/>
        </w:rPr>
      </w:pPr>
      <w:r>
        <w:rPr>
          <w:rFonts w:cs="Times New Roman" w:ascii="Times New Roman" w:hAnsi="Times New Roman"/>
          <w:b/>
          <w:bCs/>
          <w:sz w:val="21"/>
          <w:szCs w:val="21"/>
        </w:rPr>
        <w:t>11. Персональные данные</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 xml:space="preserve">11.1.  С целью предоставления Лицензиару услуг по настоящему Договору Лицензиат поручает Лицензиару осуществлять обработку персональных данных третьих лиц, представителей и клиентов Лицензиата: фамилия, имя, отчество, номер телефона, изображение профиля (аватар), история сообщений. Категория персональных данных — иная. </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11.2. Лицензиаром осуществляется обработка персональных данных с использованием средств автоматизации, а также без использования таких средств, с совершением следующих действий: сбор, запись, систематизация, накопление, хранение, уточнение (обновление, изменение), передача (предоставление, доступ), извлечение, использование, блокирование, удаление, уничтожение.</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11.3. Лицензиат несет ответственность за: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11.3.1. Обеспечение правовых оснований на передачу персональных данных Лицензиару и его партнерам;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11.3.2. Ознакомление и соблюдение условий обработки персональных данных, установленных внешними поставщиками услуг;</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11.3.3. Определение сроков обработки персональных данных и прекращение обработки в случае истечения срока обработки или отзыва субъектом персональных данных согласия на обработку персональных данных;</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11.3.4. Исполнение требований законодательства РФ при использовании зарубежных внешних поставщиков услуг, включая требования к трансграничной передаче персональных данных;</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11.3.5. Реагирование и рассмотрение запросов со стороны субъектов персональных данных;</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11.3.6. Определение правил доступа представителей к Программе, мер по контролю доступа, а также ответственность за действия представителей, использующих Программу, включая нарушения правил доступа, несанкционированные действия или утечку данных.</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11.4. При обработке персональных данных Лицензиар обязуется:</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11.4.1. Обеспечивать конфиденциальность персональных данных. Лицензиар предоставляет доступ к персональным данным только тем работникам и третьим лицам, которым эта информация необходима для выполнения условий настоящего Договора, обеспечивая соблюдение указанными лицами конфиденциальности персональных данных и безопасности персональных данных при их обработке;</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11.4.2. Обеспечивать защиту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11.4.3. Назначить ответственного за организацию обработки персональных данных для выполнения обязанностей, предусмотренных ФЗ «О персональных данных» и принятыми в соответствии с ним нормативными правовыми актами;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11.4.4. Установить правила доступа к персональным данным, а также обеспечить регистрацию и учёт всех действий с ними;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11.4.5. Производить оценку вреда, который может быть причинен в случае нарушения ФЗ «О персональных данных»;</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11.4.6. Производить определение угроз безопасности персональных данных;</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11.4.7. Использовать технические средства защиты информации, необходимые для достижения установленного уровня защищенности персональных данных;</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11.4.8. Осуществлять обнаружение фактов несанкционированного доступа к персональным данным и принимать меры по реагированию, включая восстановление персональных данных, модифицированных или уничтоженных вследствие несанкционированного доступа к ним;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11.4.9. Производить оценку эффективности принимаемых мер по обеспечению безопасности персональных данных;</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11.4.10. Осуществлять внутренний контроль соответствия обработки персональных данных ФЗ «О персональных данных», принятым в соответствии с ним нормативным правовым актам, требованиям к защите персональных данных, Политике, Положению и иным локальным актам, включающий контроль за принимаемыми мерами по обеспечению безопасности персональных данных и их уровня защищенности при обработке в информационной системе Лицензиара;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11.4.11. По требованиям Лицензиата предоставлять документы и иную информацию, подтверждающую принятие мер и соблюдение требований Федерального закона «О персональных данных» № 152-ФЗ от 27.07.06;</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11.4.12. Соблюдать требования по локализации персональных данных на территории Российской Федерации;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11.4.13. Уведомить Лицензиата,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в течение 24 часов с момента выявления такого инцидента.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tabs>
          <w:tab w:val="clear" w:pos="708"/>
          <w:tab w:val="left" w:pos="447" w:leader="none"/>
        </w:tabs>
        <w:spacing w:before="0" w:after="200"/>
        <w:contextualSpacing/>
        <w:jc w:val="both"/>
        <w:rPr>
          <w:rFonts w:ascii="Times New Roman" w:hAnsi="Times New Roman" w:cs="Times New Roman"/>
          <w:b/>
          <w:bCs/>
          <w:sz w:val="21"/>
          <w:szCs w:val="21"/>
        </w:rPr>
      </w:pPr>
      <w:r>
        <w:rPr>
          <w:rFonts w:cs="Times New Roman" w:ascii="Times New Roman" w:hAnsi="Times New Roman"/>
          <w:b/>
          <w:bCs/>
          <w:sz w:val="21"/>
          <w:szCs w:val="21"/>
        </w:rPr>
        <w:t>12. Порядок заключения и расторжения Договора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12.1. Настоящий договор вступает в силу с момента акцепта Лицензиата и действует до полного исполнения обязательств сторонами.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12.2. Действие настоящего Договора может быть прекращено по инициативе Лицензиата путем отказа от предоплаты Доступа к Программе по выбранному Лицензиатом тарифному плану за следующий месяц или уведомлением в письменной форме Лицензиара. В этом случае денежные средства за оставшийся оплаченный период времени предоставления Доступа к Программе в соответствии с выбранным Лицензиатом Тарифным планом не возвращается, а задолженность по оплате Доступа к Программе должна быть компенсирована Лицензиатом в полном объеме.</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12.3. Действие настоящего Договора может быть прекращено по инициативе Лицензиара при отсутствии прямой вины Лицензиата. Лицензиар должен известить Лицензиат в письменной форме или по электронной почте Лицензиата не менее чем за 30 (тридцать) рабочих дней до фактического прекращения Доступа к Программе. В те же сроки Лицензиату возвращается денежные средства за оставшийся оплаченный период времени предоставления Доступа к Программе в соответствии с выбранным Лицензиатом Тарифным планом.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12.4. По инициативе Лицензиара действие настоящего Договора может быть прекращено на основании ненадлежащего исполнения Лицензиатом условий настоящего Договора. В этом случае денежные средства за оставшийся оплаченный период времени предоставления Доступа к Программе в соответствии с выбранным Лицензиатом Тарифным планом не возвращается, а задолженность по оплате Доступа к Программе должна быть компенсирована Лицензиатом в полном объеме.</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12.5. В случаях расторжения настоящего Договора по причинам, отличным от перечисленных выше, вопросы перерасчетов и выплат решаются по соглашению сторон или в установленном законом порядке.</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tabs>
          <w:tab w:val="clear" w:pos="708"/>
          <w:tab w:val="left" w:pos="447" w:leader="none"/>
        </w:tabs>
        <w:spacing w:before="0" w:after="200"/>
        <w:contextualSpacing/>
        <w:jc w:val="both"/>
        <w:rPr>
          <w:rFonts w:ascii="Times New Roman" w:hAnsi="Times New Roman" w:cs="Times New Roman"/>
          <w:b/>
          <w:bCs/>
          <w:sz w:val="21"/>
          <w:szCs w:val="21"/>
        </w:rPr>
      </w:pPr>
      <w:r>
        <w:rPr>
          <w:rFonts w:cs="Times New Roman" w:ascii="Times New Roman" w:hAnsi="Times New Roman"/>
          <w:b/>
          <w:bCs/>
          <w:sz w:val="21"/>
          <w:szCs w:val="21"/>
        </w:rPr>
        <w:t>13. Разрешение споров</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13.1. В случае возникновения споров или разногласий, связанных с соблюдением условий настоящего Договора, Лицензиат и Лицензиар приложат все усилия, чтобы решить их с помощью переговоров. Сторона, у которой возникли претензии и/или разногласия, направляет другой Стороне сообщение с указанием возникших претензий и/или разногласий.</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13.2. Получатель претензии в течение 30 (тридцати) календарных дней со дня ее получения, письменно уведомляет заявителя претензии о результатах рассмотрения претензии. При невозможности разрешить спор в добровольном порядке, любая из Сторон вправе обратиться в суд за защитой нарушенных прав.</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13.3. Споры между Лицензиатом и Лицензиаром рассматриваются в Арбитражном суде г. Санкт-Петербурга и Ленинградской области.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r>
    </w:p>
    <w:p>
      <w:pPr>
        <w:pStyle w:val="12"/>
        <w:tabs>
          <w:tab w:val="clear" w:pos="708"/>
          <w:tab w:val="left" w:pos="447" w:leader="none"/>
        </w:tabs>
        <w:spacing w:before="0" w:after="200"/>
        <w:contextualSpacing/>
        <w:jc w:val="both"/>
        <w:rPr>
          <w:rFonts w:ascii="Times New Roman" w:hAnsi="Times New Roman" w:cs="Times New Roman"/>
          <w:b/>
          <w:bCs/>
          <w:sz w:val="21"/>
          <w:szCs w:val="21"/>
        </w:rPr>
      </w:pPr>
      <w:r>
        <w:rPr>
          <w:rFonts w:cs="Times New Roman" w:ascii="Times New Roman" w:hAnsi="Times New Roman"/>
          <w:b/>
          <w:bCs/>
          <w:sz w:val="21"/>
          <w:szCs w:val="21"/>
        </w:rPr>
        <w:t>14. Заключительные положения</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14.1. Стороны  признают юридическую силу за электронными письмами (сообщениями) – документами, направленными по электронной почте с адресов (e-mail), а также телефонных номеров и посредством использования специальных мобильных приложений WhatsApp, Telegram и иных аналогичных им, а также при помощи социальных сетей и признают их равнозначным документам на бумажных носителях, подписанным собственноручной подписью, так как только сами Стороны и уполномоченные ими лица имеют доступ к соответствующим адресам электронной почты, аккаунтам в социальных сетях и приложениях, телефонам, указанным в Договоре, являющимся электронной подписью соответствующей Стороны, за исключением случаев если иной порядок прямо указан в настоящем Договоре. Доступ к электронной почте, аккаунту в социальных сетях и приложениях, телефону каждая Сторона осуществляет по паролю и обязуется сохранять его конфиденциальность. Стороны обязуются в последствии обменяться бумажными оригиналами Договора и приложений к нему, Актов, иных документов, оформленных в процессе исполнения Сторонами условий настоящего Договора.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14.2. Стороны не имеют никаких сопутствующих устных договоренностей. Содержание текста Договора полностью соответствует действительному волеизъявлению Сторон.</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14.3. Стороны признают, что, если какое-либо из положений Договора становится недействительным в течение срока его действия вследствие изменения законодательства или по иной причине, остальные положения Договора обязательны для Сторон в течение срока действия Договора.</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14.4. Договор составлен в 2 (двух) подлинных экземплярах на русском языке, по одному для каждой из Сторон.</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14.5. Вся информация, юридическая, техническая и финансовая, ставшая доступной Сторонам при исполнении Договора является конфиденциальной и не подлежит разглашению третьим лицам.</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14.6. В остальном что не предусмотрено настоящим Договором, Стороны будут руководствоваться действующим законодательством Российской Федерации.</w:t>
      </w:r>
    </w:p>
    <w:p>
      <w:pPr>
        <w:pStyle w:val="12"/>
        <w:tabs>
          <w:tab w:val="clear" w:pos="708"/>
          <w:tab w:val="left" w:pos="447" w:leader="none"/>
        </w:tabs>
        <w:spacing w:before="0" w:after="200"/>
        <w:contextualSpacing/>
        <w:jc w:val="both"/>
        <w:rPr>
          <w:rFonts w:ascii="Times New Roman" w:hAnsi="Times New Roman" w:cs="Times New Roman"/>
          <w:sz w:val="21"/>
          <w:szCs w:val="21"/>
        </w:rPr>
      </w:pPr>
      <w:r>
        <w:rPr>
          <w:rFonts w:cs="Times New Roman" w:ascii="Times New Roman" w:hAnsi="Times New Roman"/>
          <w:sz w:val="21"/>
          <w:szCs w:val="21"/>
        </w:rPr>
        <w:t>14.7. В соответствии с ч. 1 ст. 18 Федерального закона РФ «О рекламе» Заказчик дает согласие на получение информационных рассылок и рекламных материалов от Исполнителя на адрес электронной почты и контактный телефон, указанные Заказчиком при регистрации на Сайте / Платформе. Согласие на получение информационных рассылок и рекламных материалов может быть отозвано Заказчиком в любое время путем направления Исполнителю соответствующего уведомления на адрес: info@winwinland.ru.</w:t>
      </w:r>
    </w:p>
    <w:p>
      <w:pPr>
        <w:pStyle w:val="12"/>
        <w:spacing w:before="0" w:after="200"/>
        <w:contextualSpacing/>
        <w:rPr>
          <w:rFonts w:ascii="Times New Roman" w:hAnsi="Times New Roman" w:cs="Times New Roman"/>
          <w:b/>
          <w:bCs/>
          <w:sz w:val="21"/>
          <w:szCs w:val="21"/>
        </w:rPr>
      </w:pPr>
      <w:r>
        <w:rPr>
          <w:rFonts w:cs="Times New Roman" w:ascii="Times New Roman" w:hAnsi="Times New Roman"/>
          <w:b/>
          <w:bCs/>
          <w:sz w:val="21"/>
          <w:szCs w:val="21"/>
        </w:rPr>
      </w:r>
    </w:p>
    <w:p>
      <w:pPr>
        <w:pStyle w:val="12"/>
        <w:spacing w:before="0" w:after="200"/>
        <w:contextualSpacing/>
        <w:rPr>
          <w:rFonts w:ascii="Times New Roman" w:hAnsi="Times New Roman" w:cs="Times New Roman"/>
          <w:b/>
          <w:bCs/>
          <w:sz w:val="21"/>
          <w:szCs w:val="21"/>
        </w:rPr>
      </w:pPr>
      <w:r>
        <w:rPr>
          <w:rFonts w:cs="Times New Roman" w:ascii="Times New Roman" w:hAnsi="Times New Roman"/>
          <w:b/>
          <w:bCs/>
          <w:sz w:val="21"/>
          <w:szCs w:val="21"/>
        </w:rPr>
        <w:t>Реквизиты Лицензиара</w:t>
      </w:r>
    </w:p>
    <w:tbl>
      <w:tblPr>
        <w:tblStyle w:val="a4"/>
        <w:tblW w:w="9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1"/>
        <w:gridCol w:w="423"/>
        <w:gridCol w:w="4439"/>
      </w:tblGrid>
      <w:tr>
        <w:trPr/>
        <w:tc>
          <w:tcPr>
            <w:tcW w:w="4531" w:type="dxa"/>
            <w:tcBorders>
              <w:top w:val="nil"/>
              <w:left w:val="nil"/>
              <w:bottom w:val="nil"/>
              <w:right w:val="nil"/>
            </w:tcBorders>
          </w:tcPr>
          <w:p>
            <w:pPr>
              <w:pStyle w:val="12"/>
              <w:widowControl w:val="false"/>
              <w:suppressAutoHyphens w:val="true"/>
              <w:spacing w:before="0" w:after="200"/>
              <w:contextualSpacing/>
              <w:jc w:val="left"/>
              <w:rPr>
                <w:rFonts w:ascii="Times New Roman" w:hAnsi="Times New Roman" w:cs="Times New Roman"/>
                <w:sz w:val="21"/>
                <w:szCs w:val="21"/>
              </w:rPr>
            </w:pPr>
            <w:r>
              <w:rPr>
                <w:rFonts w:cs="Times New Roman" w:ascii="Times New Roman" w:hAnsi="Times New Roman"/>
                <w:kern w:val="0"/>
                <w:sz w:val="21"/>
                <w:szCs w:val="21"/>
                <w:lang w:val="ru-RU" w:eastAsia="ru-RU" w:bidi="ru-RU"/>
              </w:rPr>
              <w:t>Акционерное общество «ВИНВИНЛЭНД»</w:t>
            </w:r>
          </w:p>
        </w:tc>
        <w:tc>
          <w:tcPr>
            <w:tcW w:w="423" w:type="dxa"/>
            <w:tcBorders>
              <w:top w:val="nil"/>
              <w:left w:val="nil"/>
              <w:bottom w:val="nil"/>
              <w:right w:val="nil"/>
            </w:tcBorders>
          </w:tcPr>
          <w:p>
            <w:pPr>
              <w:pStyle w:val="12"/>
              <w:widowControl w:val="false"/>
              <w:suppressAutoHyphens w:val="true"/>
              <w:spacing w:before="0" w:after="200"/>
              <w:contextualSpacing/>
              <w:jc w:val="left"/>
              <w:rPr>
                <w:rFonts w:ascii="Times New Roman" w:hAnsi="Times New Roman" w:cs="Times New Roman"/>
                <w:sz w:val="21"/>
                <w:szCs w:val="21"/>
              </w:rPr>
            </w:pPr>
            <w:r>
              <w:rPr>
                <w:rFonts w:cs="Times New Roman" w:ascii="Times New Roman" w:hAnsi="Times New Roman"/>
                <w:sz w:val="21"/>
                <w:szCs w:val="21"/>
              </w:rPr>
            </w:r>
          </w:p>
        </w:tc>
        <w:tc>
          <w:tcPr>
            <w:tcW w:w="4439" w:type="dxa"/>
            <w:tcBorders>
              <w:top w:val="nil"/>
              <w:left w:val="nil"/>
              <w:bottom w:val="nil"/>
              <w:right w:val="nil"/>
            </w:tcBorders>
          </w:tcPr>
          <w:p>
            <w:pPr>
              <w:pStyle w:val="12"/>
              <w:widowControl w:val="false"/>
              <w:suppressAutoHyphens w:val="true"/>
              <w:spacing w:before="0" w:after="200"/>
              <w:contextualSpacing/>
              <w:jc w:val="left"/>
              <w:rPr>
                <w:rFonts w:ascii="Times New Roman" w:hAnsi="Times New Roman" w:cs="Times New Roman"/>
                <w:b/>
                <w:bCs/>
                <w:sz w:val="21"/>
                <w:szCs w:val="21"/>
              </w:rPr>
            </w:pPr>
            <w:r>
              <w:rPr>
                <w:rFonts w:cs="Times New Roman" w:ascii="Times New Roman" w:hAnsi="Times New Roman"/>
                <w:b/>
                <w:bCs/>
                <w:sz w:val="21"/>
                <w:szCs w:val="21"/>
              </w:rPr>
            </w:r>
          </w:p>
        </w:tc>
      </w:tr>
      <w:tr>
        <w:trPr/>
        <w:tc>
          <w:tcPr>
            <w:tcW w:w="4531" w:type="dxa"/>
            <w:tcBorders>
              <w:top w:val="nil"/>
              <w:left w:val="nil"/>
              <w:bottom w:val="nil"/>
              <w:right w:val="nil"/>
            </w:tcBorders>
          </w:tcPr>
          <w:p>
            <w:pPr>
              <w:pStyle w:val="12"/>
              <w:widowControl w:val="false"/>
              <w:suppressAutoHyphens w:val="true"/>
              <w:spacing w:before="0" w:after="200"/>
              <w:contextualSpacing/>
              <w:jc w:val="left"/>
              <w:rPr>
                <w:rFonts w:ascii="Times New Roman" w:hAnsi="Times New Roman" w:cs="Times New Roman"/>
                <w:sz w:val="21"/>
                <w:szCs w:val="21"/>
              </w:rPr>
            </w:pPr>
            <w:r>
              <w:rPr>
                <w:rFonts w:cs="Times New Roman" w:ascii="Times New Roman" w:hAnsi="Times New Roman"/>
                <w:kern w:val="0"/>
                <w:sz w:val="21"/>
                <w:szCs w:val="21"/>
                <w:lang w:val="ru-RU" w:eastAsia="ru-RU" w:bidi="ru-RU"/>
              </w:rPr>
              <w:t>ИНН 7810961157 КПП 781001001</w:t>
            </w:r>
          </w:p>
          <w:p>
            <w:pPr>
              <w:pStyle w:val="12"/>
              <w:widowControl w:val="false"/>
              <w:suppressAutoHyphens w:val="true"/>
              <w:spacing w:before="0" w:after="200"/>
              <w:contextualSpacing/>
              <w:jc w:val="left"/>
              <w:rPr>
                <w:rFonts w:ascii="Times New Roman" w:hAnsi="Times New Roman" w:cs="Times New Roman"/>
                <w:sz w:val="21"/>
                <w:szCs w:val="21"/>
              </w:rPr>
            </w:pPr>
            <w:r>
              <w:rPr>
                <w:rFonts w:cs="Times New Roman" w:ascii="Times New Roman" w:hAnsi="Times New Roman"/>
                <w:kern w:val="0"/>
                <w:sz w:val="21"/>
                <w:szCs w:val="21"/>
                <w:lang w:val="ru-RU" w:eastAsia="ru-RU" w:bidi="ru-RU"/>
              </w:rPr>
              <w:t>ОГРН 1247800054050</w:t>
            </w:r>
          </w:p>
          <w:p>
            <w:pPr>
              <w:pStyle w:val="12"/>
              <w:widowControl w:val="false"/>
              <w:suppressAutoHyphens w:val="true"/>
              <w:spacing w:before="0" w:after="200"/>
              <w:contextualSpacing/>
              <w:jc w:val="left"/>
              <w:rPr>
                <w:rFonts w:ascii="Times New Roman" w:hAnsi="Times New Roman" w:cs="Times New Roman"/>
                <w:sz w:val="21"/>
                <w:szCs w:val="21"/>
              </w:rPr>
            </w:pPr>
            <w:r>
              <w:rPr>
                <w:rFonts w:cs="Times New Roman" w:ascii="Times New Roman" w:hAnsi="Times New Roman"/>
                <w:kern w:val="0"/>
                <w:sz w:val="21"/>
                <w:szCs w:val="21"/>
                <w:lang w:val="ru-RU" w:eastAsia="ru-RU" w:bidi="ru-RU"/>
              </w:rPr>
              <w:t>р/с 40702810932410015332 в ФИЛИАЛ "САНКТ-ПЕТЕРБУРГСКИЙ" АО</w:t>
            </w:r>
          </w:p>
          <w:p>
            <w:pPr>
              <w:pStyle w:val="12"/>
              <w:widowControl w:val="false"/>
              <w:suppressAutoHyphens w:val="true"/>
              <w:spacing w:before="0" w:after="200"/>
              <w:contextualSpacing/>
              <w:jc w:val="left"/>
              <w:rPr>
                <w:rFonts w:ascii="Times New Roman" w:hAnsi="Times New Roman" w:cs="Times New Roman"/>
                <w:sz w:val="21"/>
                <w:szCs w:val="21"/>
              </w:rPr>
            </w:pPr>
            <w:r>
              <w:rPr>
                <w:rFonts w:cs="Times New Roman" w:ascii="Times New Roman" w:hAnsi="Times New Roman"/>
                <w:kern w:val="0"/>
                <w:sz w:val="21"/>
                <w:szCs w:val="21"/>
                <w:lang w:val="ru-RU" w:eastAsia="ru-RU" w:bidi="ru-RU"/>
              </w:rPr>
              <w:t>"АЛЬФА-БАНК"</w:t>
            </w:r>
          </w:p>
          <w:p>
            <w:pPr>
              <w:pStyle w:val="12"/>
              <w:widowControl w:val="false"/>
              <w:suppressAutoHyphens w:val="true"/>
              <w:spacing w:before="0" w:after="200"/>
              <w:contextualSpacing/>
              <w:jc w:val="left"/>
              <w:rPr>
                <w:rFonts w:ascii="Times New Roman" w:hAnsi="Times New Roman" w:cs="Times New Roman"/>
                <w:sz w:val="21"/>
                <w:szCs w:val="21"/>
              </w:rPr>
            </w:pPr>
            <w:r>
              <w:rPr>
                <w:rFonts w:cs="Times New Roman" w:ascii="Times New Roman" w:hAnsi="Times New Roman"/>
                <w:kern w:val="0"/>
                <w:sz w:val="21"/>
                <w:szCs w:val="21"/>
                <w:lang w:val="ru-RU" w:eastAsia="ru-RU" w:bidi="ru-RU"/>
              </w:rPr>
              <w:t>к/с 30101810600000000786</w:t>
            </w:r>
          </w:p>
          <w:p>
            <w:pPr>
              <w:pStyle w:val="12"/>
              <w:widowControl w:val="false"/>
              <w:suppressAutoHyphens w:val="true"/>
              <w:spacing w:before="0" w:after="200"/>
              <w:contextualSpacing/>
              <w:jc w:val="left"/>
              <w:rPr>
                <w:rFonts w:ascii="Times New Roman" w:hAnsi="Times New Roman" w:cs="Times New Roman"/>
                <w:sz w:val="21"/>
                <w:szCs w:val="21"/>
              </w:rPr>
            </w:pPr>
            <w:r>
              <w:rPr>
                <w:rFonts w:cs="Times New Roman" w:ascii="Times New Roman" w:hAnsi="Times New Roman"/>
                <w:kern w:val="0"/>
                <w:sz w:val="21"/>
                <w:szCs w:val="21"/>
                <w:lang w:val="ru-RU" w:eastAsia="ru-RU" w:bidi="ru-RU"/>
              </w:rPr>
              <w:t>БИК 044030786</w:t>
            </w:r>
          </w:p>
          <w:p>
            <w:pPr>
              <w:pStyle w:val="12"/>
              <w:widowControl w:val="false"/>
              <w:suppressAutoHyphens w:val="true"/>
              <w:spacing w:before="0" w:after="200"/>
              <w:contextualSpacing/>
              <w:jc w:val="left"/>
              <w:rPr>
                <w:rFonts w:ascii="Times New Roman" w:hAnsi="Times New Roman" w:cs="Times New Roman"/>
                <w:sz w:val="21"/>
                <w:szCs w:val="21"/>
              </w:rPr>
            </w:pPr>
            <w:r>
              <w:rPr>
                <w:rFonts w:cs="Times New Roman" w:ascii="Times New Roman" w:hAnsi="Times New Roman"/>
                <w:kern w:val="0"/>
                <w:sz w:val="21"/>
                <w:szCs w:val="21"/>
                <w:lang w:val="ru-RU" w:eastAsia="ru-RU" w:bidi="ru-RU"/>
              </w:rPr>
              <w:t>196143, г. Санкт - Петербург, улица ЛЕНСОВЕТА, Д. 34, К. 3 ЛИТЕРА А,</w:t>
            </w:r>
          </w:p>
          <w:p>
            <w:pPr>
              <w:pStyle w:val="12"/>
              <w:widowControl w:val="false"/>
              <w:suppressAutoHyphens w:val="true"/>
              <w:spacing w:before="0" w:after="200"/>
              <w:contextualSpacing/>
              <w:jc w:val="left"/>
              <w:rPr>
                <w:rFonts w:ascii="Times New Roman" w:hAnsi="Times New Roman" w:cs="Times New Roman"/>
                <w:sz w:val="21"/>
                <w:szCs w:val="21"/>
              </w:rPr>
            </w:pPr>
            <w:r>
              <w:rPr>
                <w:rFonts w:cs="Times New Roman" w:ascii="Times New Roman" w:hAnsi="Times New Roman"/>
                <w:kern w:val="0"/>
                <w:sz w:val="21"/>
                <w:szCs w:val="21"/>
                <w:lang w:val="ru-RU" w:eastAsia="ru-RU" w:bidi="ru-RU"/>
              </w:rPr>
              <w:t>ПОМЕЩ. 23-Н, ОФИС 71 БЦ КАРАВЕЛЛА</w:t>
            </w:r>
          </w:p>
          <w:p>
            <w:pPr>
              <w:pStyle w:val="12"/>
              <w:widowControl w:val="false"/>
              <w:suppressAutoHyphens w:val="true"/>
              <w:spacing w:before="0" w:after="200"/>
              <w:contextualSpacing/>
              <w:jc w:val="left"/>
              <w:rPr>
                <w:rFonts w:ascii="Times New Roman" w:hAnsi="Times New Roman" w:cs="Times New Roman"/>
                <w:sz w:val="21"/>
                <w:szCs w:val="21"/>
              </w:rPr>
            </w:pPr>
            <w:hyperlink r:id="rId7">
              <w:r>
                <w:rPr>
                  <w:rStyle w:val="Hyperlink"/>
                  <w:rFonts w:cs="Times New Roman" w:ascii="Times New Roman" w:hAnsi="Times New Roman"/>
                  <w:kern w:val="0"/>
                  <w:sz w:val="21"/>
                  <w:szCs w:val="21"/>
                  <w:lang w:val="ru-RU" w:eastAsia="ru-RU" w:bidi="ru-RU"/>
                </w:rPr>
                <w:t>INFO@WINWINLAND.RU</w:t>
              </w:r>
            </w:hyperlink>
          </w:p>
          <w:p>
            <w:pPr>
              <w:pStyle w:val="12"/>
              <w:widowControl w:val="false"/>
              <w:suppressAutoHyphens w:val="true"/>
              <w:spacing w:before="0" w:after="200"/>
              <w:contextualSpacing/>
              <w:jc w:val="left"/>
              <w:rPr>
                <w:rFonts w:ascii="Times New Roman" w:hAnsi="Times New Roman" w:cs="Times New Roman"/>
                <w:sz w:val="21"/>
                <w:szCs w:val="21"/>
              </w:rPr>
            </w:pPr>
            <w:r>
              <w:rPr>
                <w:rFonts w:cs="Times New Roman" w:ascii="Times New Roman" w:hAnsi="Times New Roman"/>
                <w:kern w:val="0"/>
                <w:sz w:val="21"/>
                <w:szCs w:val="21"/>
                <w:lang w:val="ru-RU" w:eastAsia="ru-RU" w:bidi="ru-RU"/>
              </w:rPr>
              <w:t>+7812 425-12-96</w:t>
            </w:r>
          </w:p>
        </w:tc>
        <w:tc>
          <w:tcPr>
            <w:tcW w:w="423" w:type="dxa"/>
            <w:tcBorders>
              <w:top w:val="nil"/>
              <w:left w:val="nil"/>
              <w:bottom w:val="nil"/>
              <w:right w:val="nil"/>
            </w:tcBorders>
          </w:tcPr>
          <w:p>
            <w:pPr>
              <w:pStyle w:val="12"/>
              <w:widowControl w:val="false"/>
              <w:suppressAutoHyphens w:val="true"/>
              <w:spacing w:before="0" w:after="200"/>
              <w:contextualSpacing/>
              <w:jc w:val="left"/>
              <w:rPr>
                <w:rFonts w:ascii="Times New Roman" w:hAnsi="Times New Roman" w:cs="Times New Roman"/>
                <w:sz w:val="21"/>
                <w:szCs w:val="21"/>
              </w:rPr>
            </w:pPr>
            <w:r>
              <w:rPr>
                <w:rFonts w:cs="Times New Roman" w:ascii="Times New Roman" w:hAnsi="Times New Roman"/>
                <w:sz w:val="21"/>
                <w:szCs w:val="21"/>
              </w:rPr>
            </w:r>
          </w:p>
        </w:tc>
        <w:tc>
          <w:tcPr>
            <w:tcW w:w="4439" w:type="dxa"/>
            <w:tcBorders>
              <w:top w:val="nil"/>
              <w:left w:val="nil"/>
              <w:bottom w:val="nil"/>
              <w:right w:val="nil"/>
            </w:tcBorders>
          </w:tcPr>
          <w:p>
            <w:pPr>
              <w:pStyle w:val="12"/>
              <w:widowControl w:val="false"/>
              <w:suppressAutoHyphens w:val="true"/>
              <w:spacing w:before="0" w:after="200"/>
              <w:contextualSpacing/>
              <w:jc w:val="left"/>
              <w:rPr>
                <w:rFonts w:ascii="Times New Roman" w:hAnsi="Times New Roman" w:cs="Times New Roman"/>
                <w:sz w:val="21"/>
                <w:szCs w:val="21"/>
              </w:rPr>
            </w:pPr>
            <w:r>
              <w:rPr>
                <w:rFonts w:cs="Times New Roman" w:ascii="Times New Roman" w:hAnsi="Times New Roman"/>
                <w:sz w:val="21"/>
                <w:szCs w:val="21"/>
              </w:rPr>
            </w:r>
          </w:p>
        </w:tc>
      </w:tr>
    </w:tbl>
    <w:p>
      <w:pPr>
        <w:pStyle w:val="12"/>
        <w:spacing w:before="0" w:after="200"/>
        <w:contextualSpacing/>
        <w:rPr>
          <w:rFonts w:ascii="Times New Roman" w:hAnsi="Times New Roman" w:cs="Times New Roman"/>
          <w:sz w:val="21"/>
          <w:szCs w:val="21"/>
        </w:rPr>
      </w:pPr>
      <w:r>
        <w:rPr>
          <w:rFonts w:cs="Times New Roman" w:ascii="Times New Roman" w:hAnsi="Times New Roman"/>
          <w:sz w:val="21"/>
          <w:szCs w:val="21"/>
        </w:rPr>
      </w:r>
    </w:p>
    <w:sectPr>
      <w:type w:val="nextPage"/>
      <w:pgSz w:w="11906" w:h="16838"/>
      <w:pgMar w:left="1063" w:right="830" w:gutter="0" w:header="0" w:top="1138" w:footer="0" w:bottom="92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Calibri">
    <w:charset w:val="01"/>
    <w:family w:val="swiss"/>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smallCaps w:val="false"/>
        <w:caps w:val="false"/>
        <w:dstrike w:val="false"/>
        <w:strike w:val="false"/>
        <w:sz w:val="22"/>
        <w:spacing w:val="0"/>
        <w:i w:val="false"/>
        <w:u w:val="none"/>
        <w:b/>
        <w:shd w:fill="auto" w:val="clear"/>
        <w:szCs w:val="22"/>
        <w:iCs w:val="false"/>
        <w:bCs/>
        <w:w w:val="100"/>
        <w:rFonts w:ascii="Times New Roman" w:hAnsi="Times New Roman" w:eastAsia="Calibri" w:cs="Times New Roman"/>
        <w:color w:val="000000"/>
        <w:lang w:val="ru-RU" w:eastAsia="ru-RU" w:bidi="ru-RU"/>
      </w:rPr>
    </w:lvl>
    <w:lvl w:ilvl="1">
      <w:start w:val="1"/>
      <w:numFmt w:val="decimal"/>
      <w:lvlText w:val="%1.%2."/>
      <w:lvlJc w:val="left"/>
      <w:pPr>
        <w:tabs>
          <w:tab w:val="num" w:pos="0"/>
        </w:tabs>
        <w:ind w:left="0" w:hanging="0"/>
      </w:pPr>
      <w:rPr>
        <w:smallCaps w:val="false"/>
        <w:caps w:val="false"/>
        <w:dstrike w:val="false"/>
        <w:strike w:val="false"/>
        <w:sz w:val="22"/>
        <w:spacing w:val="0"/>
        <w:i w:val="false"/>
        <w:u w:val="none"/>
        <w:b w:val="false"/>
        <w:shd w:fill="auto" w:val="clear"/>
        <w:szCs w:val="22"/>
        <w:iCs w:val="false"/>
        <w:bCs w:val="false"/>
        <w:w w:val="100"/>
        <w:rFonts w:ascii="Times New Roman" w:hAnsi="Times New Roman" w:eastAsia="Calibri" w:cs="Times New Roman"/>
        <w:color w:val="000000"/>
        <w:lang w:val="ru-RU" w:eastAsia="ru-RU" w:bidi="ru-RU"/>
      </w:rPr>
    </w:lvl>
    <w:lvl w:ilvl="2">
      <w:start w:val="1"/>
      <w:numFmt w:val="decimal"/>
      <w:lvlText w:val="%1.%2.%3."/>
      <w:lvlJc w:val="left"/>
      <w:pPr>
        <w:tabs>
          <w:tab w:val="num" w:pos="0"/>
        </w:tabs>
        <w:ind w:left="0" w:hanging="0"/>
      </w:pPr>
      <w:rPr>
        <w:smallCaps w:val="false"/>
        <w:caps w:val="false"/>
        <w:dstrike w:val="false"/>
        <w:strike w:val="false"/>
        <w:sz w:val="22"/>
        <w:spacing w:val="0"/>
        <w:i w:val="false"/>
        <w:u w:val="none"/>
        <w:b w:val="false"/>
        <w:shd w:fill="auto" w:val="clear"/>
        <w:szCs w:val="22"/>
        <w:iCs w:val="false"/>
        <w:bCs w:val="false"/>
        <w:w w:val="100"/>
        <w:rFonts w:ascii="Times New Roman" w:hAnsi="Times New Roman" w:eastAsia="Calibri" w:cs="Times New Roman"/>
        <w:color w:val="000000"/>
        <w:lang w:val="ru-RU" w:eastAsia="ru-RU" w:bidi="ru-RU"/>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08"/>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ru-RU" w:eastAsia="ru-RU" w:bidi="ru-RU"/>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ourier New" w:hAnsi="Courier New" w:eastAsia="Courier New" w:cs="Courier New"/>
      <w:color w:val="000000"/>
      <w:kern w:val="0"/>
      <w:sz w:val="24"/>
      <w:szCs w:val="24"/>
      <w:lang w:val="ru-RU" w:eastAsia="ru-RU" w:bidi="ru-RU"/>
    </w:rPr>
  </w:style>
  <w:style w:type="character" w:styleId="DefaultParagraphFont" w:default="1">
    <w:name w:val="Default Paragraph Font"/>
    <w:uiPriority w:val="1"/>
    <w:unhideWhenUsed/>
    <w:qFormat/>
    <w:rPr/>
  </w:style>
  <w:style w:type="character" w:styleId="1" w:customStyle="1">
    <w:name w:val="Заголовок №1_"/>
    <w:basedOn w:val="DefaultParagraphFont"/>
    <w:link w:val="11"/>
    <w:qFormat/>
    <w:rPr>
      <w:rFonts w:ascii="Calibri" w:hAnsi="Calibri" w:eastAsia="Calibri" w:cs="Calibri"/>
      <w:b w:val="false"/>
      <w:bCs w:val="false"/>
      <w:i w:val="false"/>
      <w:iCs w:val="false"/>
      <w:caps w:val="false"/>
      <w:smallCaps w:val="false"/>
      <w:strike w:val="false"/>
      <w:dstrike w:val="false"/>
      <w:sz w:val="32"/>
      <w:szCs w:val="32"/>
      <w:u w:val="none"/>
    </w:rPr>
  </w:style>
  <w:style w:type="character" w:styleId="Style14" w:customStyle="1">
    <w:name w:val="Основной текст_"/>
    <w:basedOn w:val="DefaultParagraphFont"/>
    <w:link w:val="12"/>
    <w:qFormat/>
    <w:rPr>
      <w:rFonts w:ascii="Calibri" w:hAnsi="Calibri" w:eastAsia="Calibri" w:cs="Calibri"/>
      <w:b w:val="false"/>
      <w:bCs w:val="false"/>
      <w:i w:val="false"/>
      <w:iCs w:val="false"/>
      <w:caps w:val="false"/>
      <w:smallCaps w:val="false"/>
      <w:strike w:val="false"/>
      <w:dstrike w:val="false"/>
      <w:sz w:val="22"/>
      <w:szCs w:val="22"/>
      <w:u w:val="none"/>
    </w:rPr>
  </w:style>
  <w:style w:type="character" w:styleId="Hyperlink">
    <w:name w:val="Hyperlink"/>
    <w:basedOn w:val="DefaultParagraphFont"/>
    <w:uiPriority w:val="99"/>
    <w:unhideWhenUsed/>
    <w:rsid w:val="00aa41e9"/>
    <w:rPr>
      <w:color w:themeColor="hyperlink" w:val="0563C1"/>
      <w:u w:val="single"/>
    </w:rPr>
  </w:style>
  <w:style w:type="character" w:styleId="UnresolvedMention">
    <w:name w:val="Unresolved Mention"/>
    <w:basedOn w:val="DefaultParagraphFont"/>
    <w:uiPriority w:val="99"/>
    <w:semiHidden/>
    <w:unhideWhenUsed/>
    <w:qFormat/>
    <w:rsid w:val="00aa41e9"/>
    <w:rPr>
      <w:color w:val="605E5C"/>
      <w:shd w:fill="E1DFDD" w:val="clear"/>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6">
    <w:name w:val="Указатель"/>
    <w:basedOn w:val="Normal"/>
    <w:qFormat/>
    <w:pPr>
      <w:suppressLineNumbers/>
    </w:pPr>
    <w:rPr>
      <w:rFonts w:cs="Noto Sans Devanagari"/>
    </w:rPr>
  </w:style>
  <w:style w:type="paragraph" w:styleId="user">
    <w:name w:val="Заголовок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1">
    <w:name w:val="Указатель (user)"/>
    <w:basedOn w:val="Normal"/>
    <w:qFormat/>
    <w:pPr>
      <w:suppressLineNumbers/>
    </w:pPr>
    <w:rPr>
      <w:rFonts w:cs="Noto Sans Devanagari"/>
    </w:rPr>
  </w:style>
  <w:style w:type="paragraph" w:styleId="11" w:customStyle="1">
    <w:name w:val="Заголовок №1"/>
    <w:basedOn w:val="Normal"/>
    <w:link w:val="1"/>
    <w:qFormat/>
    <w:pPr>
      <w:spacing w:before="0" w:after="240"/>
      <w:jc w:val="center"/>
      <w:outlineLvl w:val="0"/>
    </w:pPr>
    <w:rPr>
      <w:rFonts w:ascii="Calibri" w:hAnsi="Calibri" w:eastAsia="Calibri" w:cs="Calibri"/>
      <w:sz w:val="32"/>
      <w:szCs w:val="32"/>
    </w:rPr>
  </w:style>
  <w:style w:type="paragraph" w:styleId="12" w:customStyle="1">
    <w:name w:val="Основной текст1"/>
    <w:basedOn w:val="Normal"/>
    <w:link w:val="Style14"/>
    <w:qFormat/>
    <w:pPr>
      <w:spacing w:lineRule="auto" w:line="271" w:before="0" w:after="200"/>
    </w:pPr>
    <w:rPr>
      <w:rFonts w:ascii="Calibri" w:hAnsi="Calibri" w:eastAsia="Calibri" w:cs="Calibri"/>
      <w:sz w:val="22"/>
      <w:szCs w:val="22"/>
    </w:rPr>
  </w:style>
  <w:style w:type="numbering" w:styleId="Style17"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4">
    <w:name w:val="Table Grid"/>
    <w:basedOn w:val="a1"/>
    <w:uiPriority w:val="39"/>
    <w:rsid w:val="00aa41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inwinland.ru/" TargetMode="External"/><Relationship Id="rId3" Type="http://schemas.openxmlformats.org/officeDocument/2006/relationships/hyperlink" Target="https://for16.ru/" TargetMode="External"/><Relationship Id="rId4" Type="http://schemas.openxmlformats.org/officeDocument/2006/relationships/hyperlink" Target="https://winwinland.ru/" TargetMode="External"/><Relationship Id="rId5" Type="http://schemas.openxmlformats.org/officeDocument/2006/relationships/hyperlink" Target="https://winwinland.ru/" TargetMode="External"/><Relationship Id="rId6" Type="http://schemas.openxmlformats.org/officeDocument/2006/relationships/hyperlink" Target="https://winwinland.ru/" TargetMode="External"/><Relationship Id="rId7" Type="http://schemas.openxmlformats.org/officeDocument/2006/relationships/hyperlink" Target="mailto:INFO@WINWINLAND.RU"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352</TotalTime>
  <Application>LibreOffice/24.8.7.2$Linux_X86_64 LibreOffice_project/480$Build-2</Application>
  <AppVersion>15.0000</AppVersion>
  <Pages>9</Pages>
  <Words>4232</Words>
  <Characters>30991</Characters>
  <CharactersWithSpaces>35036</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2025-07-31T20:04:00Z</dcterms:created>
  <dc:creator>tulskyv</dc:creator>
  <dc:description/>
  <dc:language>ru-RU</dc:language>
  <cp:lastModifiedBy/>
  <dcterms:modified xsi:type="dcterms:W3CDTF">2025-08-12T10:13:07Z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