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commentsExtended.xml" ContentType="application/vnd.openxmlformats-officedocument.wordprocessingml.commentsExtended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26282F"/>
          <w:sz w:val="20"/>
          <w:szCs w:val="20"/>
        </w:rPr>
        <w:t>Договор публичной оферты</w:t>
      </w:r>
    </w:p>
    <w:p>
      <w:pPr>
        <w:pStyle w:val="Normal"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26282F"/>
          <w:sz w:val="20"/>
          <w:szCs w:val="20"/>
        </w:rPr>
        <w:t>об участии в Партнерской реферальной программе</w:t>
      </w:r>
    </w:p>
    <w:p>
      <w:pPr>
        <w:pStyle w:val="Normal"/>
        <w:jc w:val="center"/>
        <w:rPr>
          <w:rFonts w:ascii="Verdana" w:hAnsi="Verdana"/>
          <w:b/>
          <w:i w:val="false"/>
          <w:i w:val="false"/>
          <w:color w:val="26282F"/>
          <w:sz w:val="20"/>
          <w:szCs w:val="20"/>
        </w:rPr>
      </w:pPr>
      <w:r>
        <w:rPr>
          <w:rFonts w:ascii="Verdana" w:hAnsi="Verdana"/>
          <w:b/>
          <w:i w:val="false"/>
          <w:color w:val="26282F"/>
          <w:sz w:val="20"/>
          <w:szCs w:val="20"/>
        </w:rPr>
      </w:r>
    </w:p>
    <w:p>
      <w:pPr>
        <w:pStyle w:val="Normal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000000"/>
          <w:sz w:val="20"/>
          <w:szCs w:val="20"/>
        </w:rPr>
        <w:tab/>
        <w:t>Акционерное обществ</w:t>
      </w:r>
      <w:r>
        <w:rPr>
          <w:rFonts w:ascii="Verdana" w:hAnsi="Verdana"/>
          <w:b/>
          <w:i w:val="false"/>
          <w:color w:val="000000"/>
          <w:sz w:val="20"/>
          <w:szCs w:val="20"/>
        </w:rPr>
        <w:t>о</w:t>
      </w:r>
      <w:r>
        <w:rPr>
          <w:rFonts w:ascii="Verdana" w:hAnsi="Verdana"/>
          <w:b/>
          <w:i w:val="false"/>
          <w:color w:val="000000"/>
          <w:sz w:val="20"/>
          <w:szCs w:val="20"/>
        </w:rPr>
        <w:t xml:space="preserve"> «ВИНВИНЛЭНД»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, в лице генерального директора Авштолиса В.И., действующего на основании Устава, именуемое в дальнейшем «</w:t>
      </w:r>
      <w:r>
        <w:rPr>
          <w:rFonts w:ascii="Verdana" w:hAnsi="Verdana"/>
          <w:b/>
          <w:i w:val="false"/>
          <w:color w:val="000000"/>
          <w:sz w:val="20"/>
          <w:szCs w:val="20"/>
        </w:rPr>
        <w:t>Компания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 xml:space="preserve">», публикует настоящий договор об участии в Партнерской программе, который в соответствии с п. 2 ст. 437 ГК РФ является публичной офертой. </w:t>
      </w:r>
    </w:p>
    <w:p>
      <w:pPr>
        <w:pStyle w:val="Normal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ab/>
        <w:t>Договор заключается путем акцепта Партнером настоящей публичной оферты, содержащей все существенные условия договора. Настоящий документ имеет юридическую силу в соответствии со ст. 434 ГК РФ и является равносильным договору, подписанному сторонами, и действителен в электронном виде.</w:t>
      </w:r>
    </w:p>
    <w:p>
      <w:pPr>
        <w:pStyle w:val="Normal"/>
        <w:jc w:val="both"/>
        <w:rPr>
          <w:rFonts w:ascii="Verdana" w:hAnsi="Verdana"/>
          <w:b/>
          <w:i/>
          <w:i/>
          <w:color w:val="000000"/>
          <w:sz w:val="20"/>
          <w:szCs w:val="20"/>
        </w:rPr>
      </w:pPr>
      <w:r>
        <w:rPr>
          <w:rFonts w:ascii="Verdana" w:hAnsi="Verdana"/>
          <w:b/>
          <w:i/>
          <w:color w:val="000000"/>
          <w:sz w:val="20"/>
          <w:szCs w:val="20"/>
        </w:rPr>
      </w:r>
    </w:p>
    <w:p>
      <w:pPr>
        <w:pStyle w:val="Normal"/>
        <w:numPr>
          <w:ilvl w:val="0"/>
          <w:numId w:val="1"/>
        </w:numPr>
        <w:ind w:hanging="360" w:left="360" w:right="0"/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i w:val="false"/>
          <w:color w:val="000000"/>
          <w:sz w:val="20"/>
          <w:szCs w:val="20"/>
        </w:rPr>
        <w:t>Термины и определения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000000"/>
          <w:sz w:val="20"/>
          <w:szCs w:val="20"/>
        </w:rPr>
        <w:t xml:space="preserve">Акцепт оферты 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- полное и безоговорочное принятие оферты путем регистрации Партнера в Партнерской программе и принятия условий Партнерской программы, осуществляемое по заявлению Партнера.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26282F"/>
          <w:sz w:val="20"/>
          <w:szCs w:val="20"/>
        </w:rPr>
        <w:t xml:space="preserve">Партнер 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– участник Партнерской программы юридическое лицо, индивидуальный предприниматель или самозанятый, который заключил с Компанией настоящий Договор путем Акцепта оферты.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000000"/>
          <w:sz w:val="20"/>
          <w:szCs w:val="20"/>
        </w:rPr>
        <w:t>Сайты Компании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 xml:space="preserve"> — winwinland.ru. for16.ru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000000"/>
          <w:sz w:val="20"/>
          <w:szCs w:val="20"/>
        </w:rPr>
        <w:t xml:space="preserve">Партнерская программа 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- программа, предусматривающая поиск и привлечение клиентов Партнером.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000000"/>
          <w:sz w:val="20"/>
          <w:szCs w:val="20"/>
        </w:rPr>
        <w:t xml:space="preserve">Правила партнерской программы 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– расположены https://winwinland.ru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26282F"/>
          <w:sz w:val="20"/>
          <w:szCs w:val="20"/>
        </w:rPr>
        <w:t xml:space="preserve">Личный кабинет Партнера 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 xml:space="preserve">- индивидуальная учетная запись, размещенная на сайте </w:t>
      </w:r>
      <w:r>
        <w:rPr>
          <w:rFonts w:ascii="Verdana" w:hAnsi="Verdana"/>
          <w:b w:val="false"/>
          <w:i w:val="false"/>
          <w:color w:val="000080"/>
          <w:sz w:val="20"/>
          <w:szCs w:val="20"/>
        </w:rPr>
        <w:t>winwinland.ru. for16.ru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, и доступная после подписания настоящего Договора, содержащая информацию о деятельности Партнера.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000000"/>
          <w:sz w:val="20"/>
          <w:szCs w:val="20"/>
        </w:rPr>
        <w:t xml:space="preserve">Реферал 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- любое лицо, являющееся конечным покупателем продуктов компании на сайте по реферальной ссылке Партнера.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000000"/>
          <w:sz w:val="20"/>
          <w:szCs w:val="20"/>
        </w:rPr>
        <w:t xml:space="preserve">Отчетный период 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– в рамках настоящего Договора за указанный отчетный период принимается календарный месяц.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000000"/>
          <w:sz w:val="20"/>
          <w:szCs w:val="20"/>
        </w:rPr>
        <w:t xml:space="preserve">Вознаграждение 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– сумма, которую получает Партнер за привлечение Реферала.</w:t>
      </w:r>
    </w:p>
    <w:p>
      <w:pPr>
        <w:pStyle w:val="Normal"/>
        <w:numPr>
          <w:ilvl w:val="0"/>
          <w:numId w:val="1"/>
        </w:numPr>
        <w:ind w:hanging="360" w:left="360" w:right="0"/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i w:val="false"/>
          <w:color w:val="000000"/>
          <w:sz w:val="20"/>
          <w:szCs w:val="20"/>
        </w:rPr>
        <w:t>Предмет договора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По настоящему Договору Партнер обязуется от своего имени, за свой счет, но в интересах Компании, совершать действия, направленные на поиск и привлечение внимания Рефералов, а Компания обязуется выплатить Партнеру вознаграждение в размере и в порядке, предусмотренном Правилами партнерской программы.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 xml:space="preserve">Услуги включают: размещение реферальных ссылок на ресурсах Партнера в социальных сетях. </w:t>
      </w:r>
    </w:p>
    <w:p>
      <w:pPr>
        <w:pStyle w:val="Normal"/>
        <w:widowControl w:val="false"/>
        <w:numPr>
          <w:ilvl w:val="1"/>
          <w:numId w:val="1"/>
        </w:numPr>
        <w:tabs>
          <w:tab w:val="clear" w:pos="709"/>
        </w:tabs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Услуга считается оказанной после заключения Клиентом договора с Рефералом, привлеченным Партнером.</w:t>
      </w:r>
      <w:r>
        <w:rPr/>
        <w:commentReference w:id="0"/>
      </w:r>
    </w:p>
    <w:p>
      <w:pPr>
        <w:pStyle w:val="Normal"/>
        <w:numPr>
          <w:ilvl w:val="0"/>
          <w:numId w:val="1"/>
        </w:numPr>
        <w:ind w:hanging="360" w:left="360" w:right="0"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26282F"/>
          <w:sz w:val="20"/>
          <w:szCs w:val="20"/>
        </w:rPr>
        <w:t>Права и обязанности сторон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000000"/>
          <w:sz w:val="20"/>
          <w:szCs w:val="20"/>
        </w:rPr>
        <w:t>Партнер обязуется:</w:t>
      </w:r>
    </w:p>
    <w:p>
      <w:pPr>
        <w:pStyle w:val="Normal"/>
        <w:numPr>
          <w:ilvl w:val="2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в соответствии с настоящим Договором оказывать услуги Компании по привлечению Рефералов;</w:t>
      </w:r>
    </w:p>
    <w:p>
      <w:pPr>
        <w:pStyle w:val="Normal"/>
        <w:numPr>
          <w:ilvl w:val="2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 xml:space="preserve">Предоставить достоверную информацию при регистрации в Партнерской программе при регистрации, </w:t>
      </w:r>
      <w:commentRangeStart w:id="1"/>
      <w:r>
        <w:rPr>
          <w:rFonts w:ascii="Verdana" w:hAnsi="Verdana"/>
          <w:b w:val="false"/>
          <w:i w:val="false"/>
          <w:color w:val="000000"/>
          <w:sz w:val="20"/>
          <w:szCs w:val="20"/>
          <w:shd w:fill="auto" w:val="clear"/>
        </w:rPr>
        <w:t>создании</w:t>
      </w:r>
      <w:r>
        <w:rPr/>
        <w:commentReference w:id="2"/>
      </w:r>
      <w:r>
        <w:rPr>
          <w:rFonts w:ascii="Verdana" w:hAnsi="Verdana"/>
          <w:b w:val="false"/>
          <w:i w:val="false"/>
          <w:color w:val="000000"/>
          <w:sz w:val="20"/>
          <w:szCs w:val="20"/>
          <w:shd w:fill="auto" w:val="clear"/>
        </w:rPr>
        <w:t xml:space="preserve"> личного кабинета и в личном кабинете</w:t>
      </w:r>
      <w:r>
        <w:rPr>
          <w:rFonts w:ascii="Verdana" w:hAnsi="Verdana"/>
          <w:b w:val="false"/>
          <w:i w:val="false"/>
          <w:color w:val="000000"/>
          <w:sz w:val="20"/>
          <w:szCs w:val="20"/>
          <w:shd w:fill="auto" w:val="clear"/>
        </w:rPr>
      </w:r>
      <w:commentRangeEnd w:id="1"/>
      <w:r>
        <w:commentReference w:id="1"/>
      </w:r>
      <w:r>
        <w:rPr>
          <w:rFonts w:ascii="Verdana" w:hAnsi="Verdana"/>
          <w:b w:val="false"/>
          <w:i w:val="false"/>
          <w:color w:val="000000"/>
          <w:sz w:val="20"/>
          <w:szCs w:val="20"/>
          <w:shd w:fill="auto" w:val="clear"/>
        </w:rPr>
        <w:t>;</w:t>
      </w:r>
    </w:p>
    <w:p>
      <w:pPr>
        <w:pStyle w:val="Normal"/>
        <w:numPr>
          <w:ilvl w:val="2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 xml:space="preserve"> 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Передавать Компании всю достоверную информацию, полученную от потенциальных Рефералов и Рефералов;</w:t>
      </w:r>
    </w:p>
    <w:p>
      <w:pPr>
        <w:pStyle w:val="Normal"/>
        <w:numPr>
          <w:ilvl w:val="2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Сохранять конфиденциальность персональных данных Рефералов, к которым получил доступ в процессе участия в Партнерской программе;</w:t>
      </w:r>
    </w:p>
    <w:p>
      <w:pPr>
        <w:pStyle w:val="Normal"/>
        <w:numPr>
          <w:ilvl w:val="2"/>
          <w:numId w:val="1"/>
        </w:numPr>
        <w:ind w:hanging="360" w:left="360" w:right="0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Соблюдать авторские, исключительные права на все материалы и любые формы информации, используемые в своей деятельности;</w:t>
      </w:r>
    </w:p>
    <w:p>
      <w:pPr>
        <w:pStyle w:val="Normal"/>
        <w:numPr>
          <w:ilvl w:val="2"/>
          <w:numId w:val="1"/>
        </w:numPr>
        <w:ind w:hanging="360" w:left="360" w:right="0"/>
        <w:jc w:val="both"/>
        <w:rPr>
          <w:highlight w:val="none"/>
          <w:shd w:fill="auto" w:val="clear"/>
        </w:rPr>
      </w:pPr>
      <w:commentRangeStart w:id="3"/>
      <w:r>
        <w:rPr>
          <w:rFonts w:ascii="Verdana" w:hAnsi="Verdana"/>
          <w:b w:val="false"/>
          <w:i w:val="false"/>
          <w:color w:val="000000"/>
          <w:sz w:val="20"/>
          <w:szCs w:val="20"/>
          <w:shd w:fill="auto" w:val="clear"/>
        </w:rPr>
        <w:t>Не использовать для распространения реферальной ссылки рассылку спама и другие методы, могущие негативно повлиять на репутацию Компании</w:t>
      </w:r>
      <w:r>
        <w:rPr>
          <w:rFonts w:ascii="Verdana" w:hAnsi="Verdana"/>
          <w:b w:val="false"/>
          <w:i w:val="false"/>
          <w:color w:val="000000"/>
          <w:sz w:val="20"/>
          <w:szCs w:val="20"/>
          <w:shd w:fill="auto" w:val="clear"/>
        </w:rPr>
      </w:r>
      <w:commentRangeEnd w:id="3"/>
      <w:r>
        <w:commentReference w:id="3"/>
      </w:r>
      <w:r>
        <w:rPr>
          <w:rFonts w:ascii="Verdana" w:hAnsi="Verdana"/>
          <w:b w:val="false"/>
          <w:i w:val="false"/>
          <w:color w:val="000000"/>
          <w:sz w:val="20"/>
          <w:szCs w:val="20"/>
          <w:shd w:fill="auto" w:val="clear"/>
        </w:rPr>
        <w:t>;</w:t>
      </w:r>
    </w:p>
    <w:p>
      <w:pPr>
        <w:pStyle w:val="Normal"/>
        <w:numPr>
          <w:ilvl w:val="2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Не разглашать конфиденциальную информацию Компании, в отношении которой Компанией установлен режим коммерческой тайны, без письменного согласия Компании, а также принимать предусмотренные Федеральным законом от 29.07.2004 N 98-ФЗ "О коммерческой тайне" меры по охране конфиденциальности информации, ставшей известной Партнеру в рамках настоящего договора.</w:t>
      </w:r>
      <w:r>
        <w:rPr/>
        <w:commentReference w:id="4"/>
      </w:r>
    </w:p>
    <w:p>
      <w:pPr>
        <w:pStyle w:val="Normal"/>
        <w:numPr>
          <w:ilvl w:val="1"/>
          <w:numId w:val="1"/>
        </w:numPr>
        <w:ind w:hanging="360" w:left="360" w:right="0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000000"/>
          <w:sz w:val="20"/>
          <w:szCs w:val="20"/>
        </w:rPr>
        <w:t>Партнер вправе:</w:t>
      </w:r>
    </w:p>
    <w:p>
      <w:pPr>
        <w:pStyle w:val="Normal"/>
        <w:numPr>
          <w:ilvl w:val="2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Использовать реферальную ссылку для размещения на собственных Интернет-ресурсах и/или рассылках в целях рекламы продуктов компании, информируя Рефералов и Новых Партнеров о продуктах компании;</w:t>
      </w:r>
    </w:p>
    <w:p>
      <w:pPr>
        <w:pStyle w:val="Normal"/>
        <w:numPr>
          <w:ilvl w:val="2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Получать от Компании необходимое консультирование по условиям осуществления своих действий по настоящему Договору;</w:t>
      </w:r>
    </w:p>
    <w:p>
      <w:pPr>
        <w:pStyle w:val="Normal"/>
        <w:numPr>
          <w:ilvl w:val="2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Получать информацию по количеству Рефералов, заключивших договор с Компанией по ссылке Партнера.</w:t>
      </w:r>
    </w:p>
    <w:p>
      <w:pPr>
        <w:pStyle w:val="Normal"/>
        <w:numPr>
          <w:ilvl w:val="1"/>
          <w:numId w:val="1"/>
        </w:numPr>
        <w:ind w:hanging="360" w:left="360" w:right="0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000000"/>
          <w:sz w:val="20"/>
          <w:szCs w:val="20"/>
        </w:rPr>
        <w:t>Компания обязуется:</w:t>
      </w:r>
    </w:p>
    <w:p>
      <w:pPr>
        <w:pStyle w:val="Normal"/>
        <w:numPr>
          <w:ilvl w:val="2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Выплачивать Партнеру Вознаграждение в размере и на условиях предусмотренным настоящим Договором и Правилами партнерской программы;</w:t>
      </w:r>
    </w:p>
    <w:p>
      <w:pPr>
        <w:pStyle w:val="Normal"/>
        <w:numPr>
          <w:ilvl w:val="2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Предоставлять Партнеру необходимые материалы и информацию, для исполнения Партнером настоящего Договора.</w:t>
      </w:r>
    </w:p>
    <w:p>
      <w:pPr>
        <w:pStyle w:val="Normal"/>
        <w:numPr>
          <w:ilvl w:val="2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 xml:space="preserve">Консультировать Партнера по вопросам участия в Партнерской программе и возникающим при исполнении настоящего Договора. </w:t>
      </w:r>
    </w:p>
    <w:p>
      <w:pPr>
        <w:pStyle w:val="Normal"/>
        <w:numPr>
          <w:ilvl w:val="2"/>
          <w:numId w:val="1"/>
        </w:numPr>
        <w:ind w:hanging="360" w:left="360" w:right="0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Принимать заявки от Партнера о подключении потенциальных Рефералов.</w:t>
      </w:r>
    </w:p>
    <w:p>
      <w:pPr>
        <w:pStyle w:val="Normal"/>
        <w:numPr>
          <w:ilvl w:val="2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Не разглашать конфиденциальную информацию Партнера, в отношении которой Партнером установлен режим коммерческой тайны, без письменного согласия Компании, а также принимать предусмотренные Федеральным законом от 29.07.2004 N 98-ФЗ "О коммерческой тайне" меры по охране конфиденциальности информации, ставшей известной Компании в рамках настоящего договора.</w:t>
      </w:r>
    </w:p>
    <w:p>
      <w:pPr>
        <w:pStyle w:val="Normal"/>
        <w:numPr>
          <w:ilvl w:val="1"/>
          <w:numId w:val="1"/>
        </w:numPr>
        <w:ind w:hanging="360" w:left="360" w:right="0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i w:val="false"/>
          <w:color w:val="000000"/>
          <w:sz w:val="20"/>
          <w:szCs w:val="20"/>
        </w:rPr>
        <w:t>Компания вправе:</w:t>
      </w:r>
    </w:p>
    <w:p>
      <w:pPr>
        <w:pStyle w:val="Normal"/>
        <w:numPr>
          <w:ilvl w:val="2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В любое время проверять ход и качество работы, выполняемой Партнером, не вмешиваясь в его деятельность;</w:t>
      </w:r>
    </w:p>
    <w:p>
      <w:pPr>
        <w:pStyle w:val="Normal"/>
        <w:numPr>
          <w:ilvl w:val="2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В одностороннем порядке изменять условия настоящего Договора, Правила партнерской программы, в том числе тарифы, условия, размер и сроки выплаты Вознаграждения, разместив такие изменения на сайте Компании. Кроме того, Компания имеет право в одностороннем порядке лишить статуса Партнера, по своему собственному усмотрению.</w:t>
      </w:r>
    </w:p>
    <w:p>
      <w:pPr>
        <w:pStyle w:val="Normal"/>
        <w:numPr>
          <w:ilvl w:val="2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В одностороннем порядке исключить Партнера из Партнерской программы, в случае если Партнер не привлекает Рефералов, в течение 3 (трех) месяцев, а также Компания имеет право не выплачивать причитающиеся выплаты Партнеру на вышеуказанных основаниях. При этом Компания оставляет за собой право не уведомлять Партнера об исключении из Партнерской программы.</w:t>
      </w:r>
    </w:p>
    <w:p>
      <w:pPr>
        <w:pStyle w:val="Normal"/>
        <w:numPr>
          <w:ilvl w:val="2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Блокировать выплату Вознаграждения за нарушение им требований, предусмотренных настоящим Договором и Правилами партнерской программы.</w:t>
      </w:r>
    </w:p>
    <w:p>
      <w:pPr>
        <w:pStyle w:val="Normal"/>
        <w:numPr>
          <w:ilvl w:val="0"/>
          <w:numId w:val="1"/>
        </w:numPr>
        <w:ind w:hanging="360" w:left="360" w:right="0"/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i w:val="false"/>
          <w:color w:val="26282F"/>
          <w:sz w:val="20"/>
          <w:szCs w:val="20"/>
        </w:rPr>
        <w:t>Вознаграждение Партнера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highlight w:val="none"/>
          <w:shd w:fill="auto" w:val="clear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  <w:shd w:fill="auto" w:val="clear"/>
        </w:rPr>
        <w:t>За каждый заключенный договор между Компанией и Рефералом и получения оплаты от Рефералов Компанией, Партнер получа</w:t>
      </w:r>
      <w:r>
        <w:rPr/>
        <w:commentReference w:id="5"/>
      </w:r>
      <w:r>
        <w:rPr>
          <w:rFonts w:ascii="Verdana" w:hAnsi="Verdana"/>
          <w:b w:val="false"/>
          <w:i w:val="false"/>
          <w:color w:val="000000"/>
          <w:sz w:val="20"/>
          <w:szCs w:val="20"/>
          <w:shd w:fill="auto" w:val="clear"/>
        </w:rPr>
        <w:t xml:space="preserve">ет Вознаграждение, размер которого определен в Правилах партнерской программы. </w:t>
      </w:r>
      <w:commentRangeStart w:id="6"/>
      <w:r>
        <w:rPr>
          <w:rFonts w:ascii="Verdana" w:hAnsi="Verdana"/>
          <w:b w:val="false"/>
          <w:i w:val="false"/>
          <w:color w:val="000000"/>
          <w:sz w:val="20"/>
          <w:szCs w:val="20"/>
          <w:shd w:fill="auto" w:val="clear"/>
        </w:rPr>
        <w:t>Базой для расчета Вознаграждения считаются суммы, фактически поступившие на р/счет Клиента, за вычетом комиссий платежных систем за эквайринг и другие услуги.</w:t>
      </w:r>
      <w:commentRangeEnd w:id="6"/>
      <w:r>
        <w:commentReference w:id="6"/>
      </w:r>
      <w:r>
        <w:rPr>
          <w:rFonts w:ascii="Verdana" w:hAnsi="Verdana"/>
          <w:b w:val="false"/>
          <w:i w:val="false"/>
          <w:color w:val="000000"/>
          <w:sz w:val="20"/>
          <w:szCs w:val="20"/>
          <w:shd w:fill="auto" w:val="clear"/>
        </w:rPr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Условием начисления вознаграждения Партнеру является приобретение Рефералом покупателем продуктов по реферальной ссылке Партнера или Нового Партнера.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 xml:space="preserve">Начисление вознаграждения Партнеру осуществляется не позднее 5 (пятого) числа месяца, следующего за отчетным. 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Если в течение 1-го (одного) календарного дня с момента начисления вознаграждения в Личном кабинете Партнера, Партнер не выразит в письменном виде возражений относительно суммы выплаченного вознаграждения, сумма начисления считается согласованной Сторонами и изменению не подлежит.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Не ранее чем на 11 (одиннадцатый) календарный дней с момента начисления вознаграждения в Личном кабинете Партнера, при условии не получения от Партнера возражений о величине начисленного Вознаграждения, Компания направляет Партнеру Акт об оказанных услуг, в ответ Партнер со своей стороны направляет подписанный Акт посредством Электронного документооборота или на электронную почту Компании.</w:t>
      </w:r>
      <w:r>
        <w:rPr/>
        <w:commentReference w:id="7"/>
      </w:r>
      <w:r>
        <w:rPr/>
        <w:commentReference w:id="8"/>
      </w:r>
      <w:r>
        <w:rPr/>
        <w:commentReference w:id="9"/>
      </w:r>
      <w:r>
        <w:rPr/>
        <w:commentReference w:id="10"/>
      </w:r>
      <w:r>
        <w:rPr/>
        <w:commentReference w:id="11"/>
      </w:r>
      <w:r>
        <w:rPr>
          <w:rFonts w:ascii="Verdana" w:hAnsi="Verdana"/>
          <w:sz w:val="20"/>
          <w:szCs w:val="20"/>
        </w:rPr>
        <w:t xml:space="preserve"> Если в течение, 3 (трех) календарных дней, Партнер не вернуть подписанный Акт со своей стороны, Акт считается подписанным обеими сторонами.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commentRangeStart w:id="12"/>
      <w:r>
        <w:rPr>
          <w:rFonts w:ascii="Verdana" w:hAnsi="Verdana"/>
          <w:b w:val="false"/>
          <w:i w:val="false"/>
          <w:color w:val="000000"/>
          <w:sz w:val="20"/>
          <w:szCs w:val="20"/>
        </w:rPr>
        <w:t>Вознаграждение выплачивается Партнеру в течение 5 (пяти) рабочих дней с даты принятия Акта сторонами.</w:t>
      </w:r>
      <w:commentRangeEnd w:id="12"/>
      <w:r>
        <w:commentReference w:id="12"/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</w:r>
    </w:p>
    <w:p>
      <w:pPr>
        <w:pStyle w:val="Normal"/>
        <w:numPr>
          <w:ilvl w:val="0"/>
          <w:numId w:val="1"/>
        </w:numPr>
        <w:ind w:hanging="360" w:left="360" w:right="0"/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i w:val="false"/>
          <w:color w:val="000000"/>
          <w:sz w:val="20"/>
          <w:szCs w:val="20"/>
        </w:rPr>
        <w:t>Ответственность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Российской Федерации. При этом ответственность Компании перед Партнером в случае требования возмещения убытков, уплаты неустойки ограничена суммой в размере 10 000 (десять тысяч) рублей.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 xml:space="preserve">Компания не несет ответственности за действия Партнера, связанные с размещением и/или рассылкой реферальной ссылки. 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Установленные меры ответственности за нарушение договорных обязательств подлежат применению только на основании предъявленного одной стороной другой стороне письменного требования (претензии). Претензия должна быть рассмотрена стороной в срок не позднее 15 (пятнадцати) календарных дней с момента ее получения, а в случае намеренного неполучения претензии, в течение 15 (пятнадцати) календарных дней, с момента ее отправки. Если претензия не была удовлетворена или своевременно рассмотрена, заинтересованная сторона вправе обратиться за разрешением спора в суд.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Споры, которые могут возникнуть при исполнении условий настоящего договора, стороны будут стремиться разрешать дружеским путем в порядке досудебного разбирательства: путем переговоров, обмена письмами и др. При не достижении взаимоприемлемого решения стороны могут передать спорный вопрос, на разрешение в судебном порядке, при этом стороны руководствуясь ст.32 ГПК РФ или ст.37 АПК РФ пришли к следующему:</w:t>
      </w:r>
    </w:p>
    <w:p>
      <w:pPr>
        <w:pStyle w:val="Normal"/>
        <w:numPr>
          <w:ilvl w:val="2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в случае если споры будут подведомственны районному суду, то они будут рассматриваться в Калининском районном суде г. Санкт-Петербурга, находящемуся по адресу: Санкт-Петербург, ул. Бобруйская, д. 4;</w:t>
      </w:r>
    </w:p>
    <w:p>
      <w:pPr>
        <w:pStyle w:val="Normal"/>
        <w:numPr>
          <w:ilvl w:val="2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 xml:space="preserve"> </w:t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>в случае если споры будут подведомственны мировому суду, то они будут рассматривать в Судебном участке №42 города Санкт-Петербурга, находящемуся по адресу: Санкт-Петербург, Кондратьевский пр., д. 24, литера А;</w:t>
      </w:r>
    </w:p>
    <w:p>
      <w:pPr>
        <w:pStyle w:val="Normal"/>
        <w:numPr>
          <w:ilvl w:val="2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в случае если споры будут подведомственны Арбитражному суду, то они будут рассматривать в Арбитражном суде Санкт-Петербурга и Ленинградской области, находящемуся по адресу: Санкт-Петербург, ул. Смольного, 6.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Стороны освобождаются от ответственности за полное или частичное неисполнение обязательств по настоящему Договору, если такое неисполнение будет являться следствием обстоятельств непреодолимой силы, таких как землетрясения, наводнения, эпидемии, военные действия и др. Сторона, для которой создалась невозможность исполнения обязательств по настоящему Договору, обязана в разумный срок сообщить другой Стороне о наступлении и прекращении указанных обстоятельств, подтвердив наличие форсмажорных обстоятельств документом компетентного органа.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Если обстоятельства, предусмотренные п. 5.4. Договора, продлятся свыше 1 (одного) месяца, Стороны обязаны определить дальнейшее действие Договора. Если Стороны не придут к согласию в течение 10 (десяти) рабочих дней после обращения одной из Сторон, любая Сторона вправе отказаться от исполнения Договора, письменно уведомив об этом другую Сторону. Договор будет считаться расторгнутым с даты получения другой Стороной указанного уведомления об отказе от исполнения Договора.</w:t>
      </w:r>
    </w:p>
    <w:p>
      <w:pPr>
        <w:pStyle w:val="Normal"/>
        <w:numPr>
          <w:ilvl w:val="0"/>
          <w:numId w:val="1"/>
        </w:numPr>
        <w:ind w:hanging="360" w:left="360" w:right="0"/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i w:val="false"/>
          <w:color w:val="000000"/>
          <w:sz w:val="20"/>
          <w:szCs w:val="20"/>
        </w:rPr>
        <w:t>Срок действия и порядок расторжения Договора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Настоящий Договор вступает в силу с даты его акцепта и действует до полного исполнения сторонами своих обязательств.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Соглашаясь и принимая условия настоящей оферты путем ее акцепта, Партнер гарантирует, что заключает настоящий договор добровольно, ознакомился со всеми его условиями и принимает их, обладает всеми правами и полномочиями, необходимыми для заключения и исполнения настоящего договора.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Партнер подтверждает также, что ему известен вид деятельности Компании, в отношении которой заключен настоящий Договор, ее правовые аспекты и возникающие, в связи с этим условием возможные риски.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Компания имеет право расторгнуть настоящий договор в одностороннем порядке путем направления уведомления в адрес Партнера не менее чем за 7 (семь) календарных дней до даты предполагаемого расторжения договора.</w:t>
      </w:r>
    </w:p>
    <w:p>
      <w:pPr>
        <w:pStyle w:val="Normal"/>
        <w:numPr>
          <w:ilvl w:val="0"/>
          <w:numId w:val="1"/>
        </w:numPr>
        <w:ind w:hanging="360" w:left="360" w:right="0"/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i w:val="false"/>
          <w:color w:val="000000"/>
          <w:sz w:val="20"/>
          <w:szCs w:val="20"/>
        </w:rPr>
        <w:t>Персональные данные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Компания является оператором персональных данных Партнера, Рефералов, а также иных пользователей Сайта в соответствии с Федеральным законом РФ от 27.07.2006 года № 152-ФЗ «О персональных данных» (далее – Закон о персональных данных).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Персональные данные Партнера, Рефералов и пользователей Сайта обрабатываются только после выражения каждым из них добровольного и информированного согласия на обработку своих персональных данных, после ознакомления с соответствующей</w:t>
      </w:r>
      <w:r>
        <w:rPr>
          <w:rFonts w:ascii="Verdana" w:hAnsi="Verdana"/>
          <w:b w:val="false"/>
          <w:i w:val="false"/>
          <w:color w:val="000000"/>
          <w:sz w:val="20"/>
          <w:szCs w:val="20"/>
          <w:shd w:fill="auto" w:val="clear"/>
        </w:rPr>
        <w:t xml:space="preserve"> Политикой обработки персональных данных,</w:t>
      </w:r>
      <w:r>
        <w:rPr/>
        <w:commentReference w:id="13"/>
      </w:r>
      <w:r>
        <w:rPr/>
        <w:commentReference w:id="14"/>
      </w:r>
      <w:r>
        <w:rPr>
          <w:rFonts w:ascii="Verdana" w:hAnsi="Verdana"/>
          <w:b w:val="false"/>
          <w:i w:val="false"/>
          <w:color w:val="000000"/>
          <w:sz w:val="20"/>
          <w:szCs w:val="20"/>
          <w:shd w:fill="auto" w:val="clear"/>
        </w:rPr>
        <w:t xml:space="preserve"> опубликованной на Сайте.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Политика обработки персональных данных Партнера является неотъемлемой частью к настоящему Договору. Принимая условия настоящего Договора, Партнер автоматически безоговорочно принимает условия Политики обработки персональных данных и выражает согласие на обработку своих персональных данных, перечень которых указан в указанной Политике.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Стороны обязуются при обработке персональных данных Рефералов в полном объеме соблюдать требования Закона о персональных данных, а также изданных в его исполнение нормативных документов. Целью обработки персональных данных Рефералов во всех случаях является исполнение Договора. Сроки хранения персональных данных определяются законодательством Российской Федерации.</w:t>
      </w:r>
    </w:p>
    <w:p>
      <w:pPr>
        <w:pStyle w:val="Normal"/>
        <w:numPr>
          <w:ilvl w:val="0"/>
          <w:numId w:val="1"/>
        </w:numPr>
        <w:ind w:hanging="360" w:left="360" w:right="0"/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i w:val="false"/>
          <w:color w:val="000000"/>
          <w:sz w:val="20"/>
          <w:szCs w:val="20"/>
        </w:rPr>
        <w:t>Заключительные положения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Любые изменения и дополнения по договору, влекущие за собой новые обстоятельства, не предусмотренные настоящим договором, считаются действительными, если они подтверждены и подписаны сторонами.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В целях оптимизации документооборота сторонами достигнуто соглашение об использовании электронного документооборота наравне с документами на бумажных носителях в рамках подписания договора, дополнительных соглашений и приложений к нему, равно как и любых сопутствующих документов (наравне с бумажными документами), совершаемых при заключении, исполнении или прекращении договора, включая, но не ограничиваясь, счетами, актами оказанных услуг, актами сверок расчетов (задолженности). Приоритет при обмене документами на разных носителях (бумажный и электронный), но с одинаковыми номерами, реквизитами, информацией, имеет электронный носитель.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Вся деловая переписка, обмен документами и информацией между сторонами происходит с использованием по электронной почте на соответствующие адреса сторон, указанные в реквизитах настоящего договора и в</w:t>
      </w:r>
      <w:r>
        <w:rPr/>
        <w:commentReference w:id="15"/>
      </w:r>
      <w:r>
        <w:rPr/>
        <w:commentReference w:id="16"/>
      </w:r>
      <w:r>
        <w:rPr>
          <w:rFonts w:ascii="Verdana" w:hAnsi="Verdana"/>
          <w:b w:val="false"/>
          <w:i w:val="false"/>
          <w:color w:val="000000"/>
          <w:sz w:val="20"/>
          <w:szCs w:val="20"/>
        </w:rPr>
        <w:t xml:space="preserve"> Личном кабинете Партнера.</w:t>
      </w:r>
    </w:p>
    <w:p>
      <w:pPr>
        <w:pStyle w:val="Normal"/>
        <w:numPr>
          <w:ilvl w:val="1"/>
          <w:numId w:val="1"/>
        </w:numPr>
        <w:ind w:hanging="360" w:left="360" w:righ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  <w:t>Ни одна из сторон не может передавать свои права и обязанности по настоящему договору третьим лицам, включая уступку требования долга, без письменного согласия на то другой стороны.</w:t>
      </w:r>
    </w:p>
    <w:p>
      <w:pPr>
        <w:pStyle w:val="Normal"/>
        <w:numPr>
          <w:ilvl w:val="0"/>
          <w:numId w:val="1"/>
        </w:numPr>
        <w:ind w:hanging="360" w:left="360" w:right="0"/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i w:val="false"/>
          <w:color w:val="000000"/>
          <w:sz w:val="20"/>
          <w:szCs w:val="20"/>
        </w:rPr>
        <w:t>Реквизиты Компании</w:t>
      </w:r>
    </w:p>
    <w:p>
      <w:pPr>
        <w:pStyle w:val="Normal"/>
        <w:numPr>
          <w:ilvl w:val="0"/>
          <w:numId w:val="0"/>
        </w:numPr>
        <w:ind w:hanging="0" w:left="360" w:right="0"/>
        <w:jc w:val="center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</w:r>
    </w:p>
    <w:tbl>
      <w:tblPr>
        <w:tblW w:w="10466" w:type="dxa"/>
        <w:jc w:val="left"/>
        <w:tblInd w:w="108" w:type="dxa"/>
        <w:tblLayout w:type="fixed"/>
        <w:tblCellMar>
          <w:top w:w="55" w:type="dxa"/>
          <w:left w:w="108" w:type="dxa"/>
          <w:bottom w:w="55" w:type="dxa"/>
          <w:right w:w="108" w:type="dxa"/>
        </w:tblCellMar>
      </w:tblPr>
      <w:tblGrid>
        <w:gridCol w:w="10466"/>
      </w:tblGrid>
      <w:tr>
        <w:trPr/>
        <w:tc>
          <w:tcPr>
            <w:tcW w:w="10466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993" w:leader="none"/>
              </w:tabs>
              <w:spacing w:lineRule="auto" w:line="240" w:before="0" w:after="0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Компания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993" w:leader="none"/>
              </w:tabs>
              <w:spacing w:lineRule="auto" w:line="240" w:before="0" w:after="0"/>
              <w:jc w:val="both"/>
              <w:rPr>
                <w:rFonts w:ascii="Verdana" w:hAnsi="Verdana"/>
                <w:b w:val="false"/>
                <w:bCs w:val="false"/>
                <w:sz w:val="20"/>
                <w:szCs w:val="20"/>
              </w:rPr>
            </w:pPr>
            <w:r>
              <w:rPr>
                <w:rFonts w:ascii="Verdana" w:hAnsi="Verdana"/>
                <w:b w:val="false"/>
                <w:bCs w:val="false"/>
                <w:sz w:val="20"/>
                <w:szCs w:val="20"/>
              </w:rPr>
              <w:t>АКЦИОНЕРНОЕ ОБЩЕСТВО «ВИНВИНЛЭНД»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993" w:leader="none"/>
              </w:tabs>
              <w:spacing w:lineRule="auto" w:line="240" w:before="0" w:after="0"/>
              <w:jc w:val="both"/>
              <w:rPr>
                <w:rFonts w:ascii="Verdana" w:hAnsi="Verdana"/>
                <w:b w:val="false"/>
                <w:bCs w:val="false"/>
                <w:sz w:val="20"/>
                <w:szCs w:val="20"/>
              </w:rPr>
            </w:pPr>
            <w:r>
              <w:rPr>
                <w:rFonts w:ascii="Verdana" w:hAnsi="Verdana"/>
                <w:b w:val="false"/>
                <w:bCs w:val="false"/>
                <w:sz w:val="20"/>
                <w:szCs w:val="20"/>
              </w:rPr>
              <w:t>ИНН 7810961157 КПП 781001001 ОГРН 1247800054050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993" w:leader="none"/>
              </w:tabs>
              <w:spacing w:lineRule="auto" w:line="240" w:before="0" w:after="0"/>
              <w:jc w:val="both"/>
              <w:rPr>
                <w:rFonts w:ascii="Verdana" w:hAnsi="Verdana"/>
                <w:b w:val="false"/>
                <w:bCs w:val="false"/>
                <w:sz w:val="20"/>
                <w:szCs w:val="20"/>
              </w:rPr>
            </w:pPr>
            <w:r>
              <w:rPr>
                <w:rFonts w:ascii="Verdana" w:hAnsi="Verdana"/>
                <w:b w:val="false"/>
                <w:bCs w:val="false"/>
                <w:sz w:val="20"/>
                <w:szCs w:val="20"/>
              </w:rPr>
              <w:t>р/с 40702810932410015332 в ФИЛИАЛ "САНКТ-ПЕТЕРБУРГСКИЙ" АО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993" w:leader="none"/>
              </w:tabs>
              <w:spacing w:lineRule="auto" w:line="240" w:before="0" w:after="0"/>
              <w:jc w:val="both"/>
              <w:rPr>
                <w:rFonts w:ascii="Verdana" w:hAnsi="Verdana"/>
                <w:b w:val="false"/>
                <w:bCs w:val="false"/>
                <w:sz w:val="20"/>
                <w:szCs w:val="20"/>
              </w:rPr>
            </w:pPr>
            <w:r>
              <w:rPr>
                <w:rFonts w:ascii="Verdana" w:hAnsi="Verdana"/>
                <w:b w:val="false"/>
                <w:bCs w:val="false"/>
                <w:sz w:val="20"/>
                <w:szCs w:val="20"/>
              </w:rPr>
              <w:t>"АЛЬФА-БАНК" к/с 30101810600000000786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993" w:leader="none"/>
              </w:tabs>
              <w:spacing w:lineRule="auto" w:line="240" w:before="0" w:after="0"/>
              <w:jc w:val="both"/>
              <w:rPr>
                <w:rFonts w:ascii="Verdana" w:hAnsi="Verdana"/>
                <w:b w:val="false"/>
                <w:bCs w:val="false"/>
                <w:sz w:val="20"/>
                <w:szCs w:val="20"/>
              </w:rPr>
            </w:pPr>
            <w:r>
              <w:rPr>
                <w:rFonts w:ascii="Verdana" w:hAnsi="Verdana"/>
                <w:b w:val="false"/>
                <w:bCs w:val="false"/>
                <w:sz w:val="20"/>
                <w:szCs w:val="20"/>
              </w:rPr>
              <w:t>БИК 044030786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993" w:leader="none"/>
              </w:tabs>
              <w:spacing w:lineRule="auto" w:line="240" w:before="0" w:after="0"/>
              <w:jc w:val="both"/>
              <w:rPr>
                <w:rFonts w:ascii="Verdana" w:hAnsi="Verdana"/>
                <w:b w:val="false"/>
                <w:bCs w:val="false"/>
                <w:sz w:val="20"/>
                <w:szCs w:val="20"/>
              </w:rPr>
            </w:pPr>
            <w:r>
              <w:rPr>
                <w:rFonts w:ascii="Verdana" w:hAnsi="Verdana"/>
                <w:b w:val="false"/>
                <w:bCs w:val="false"/>
                <w:sz w:val="20"/>
                <w:szCs w:val="20"/>
              </w:rPr>
              <w:t>196143, г. Санкт - Петербург, улица ЛЕНСОВЕТА, Д. 34, К. 3 ЛИТЕРА А,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993" w:leader="none"/>
              </w:tabs>
              <w:spacing w:lineRule="auto" w:line="240" w:before="0" w:after="0"/>
              <w:jc w:val="both"/>
              <w:rPr>
                <w:rFonts w:ascii="Verdana" w:hAnsi="Verdana"/>
                <w:b w:val="false"/>
                <w:bCs w:val="false"/>
                <w:sz w:val="20"/>
                <w:szCs w:val="20"/>
              </w:rPr>
            </w:pPr>
            <w:r>
              <w:rPr>
                <w:rFonts w:ascii="Verdana" w:hAnsi="Verdana"/>
                <w:b w:val="false"/>
                <w:bCs w:val="false"/>
                <w:sz w:val="20"/>
                <w:szCs w:val="20"/>
              </w:rPr>
              <w:t>ПОМЕЩ. 23-Н, ОФИС 71 БЦ КАРАВЕЛЛА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993" w:leader="none"/>
              </w:tabs>
              <w:spacing w:lineRule="auto" w:line="240" w:before="0" w:after="0"/>
              <w:jc w:val="both"/>
              <w:rPr>
                <w:rFonts w:ascii="Verdana" w:hAnsi="Verdana"/>
                <w:b w:val="false"/>
                <w:bCs w:val="false"/>
                <w:sz w:val="20"/>
                <w:szCs w:val="20"/>
              </w:rPr>
            </w:pPr>
            <w:r>
              <w:rPr>
                <w:rFonts w:ascii="Verdana" w:hAnsi="Verdana"/>
                <w:b w:val="false"/>
                <w:bCs w:val="false"/>
                <w:sz w:val="20"/>
                <w:szCs w:val="20"/>
              </w:rPr>
              <w:t>INFO@WINWINLAND.RU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993" w:leader="none"/>
              </w:tabs>
              <w:spacing w:lineRule="auto" w:line="240" w:before="0" w:after="0"/>
              <w:jc w:val="both"/>
              <w:rPr>
                <w:rFonts w:ascii="Verdana" w:hAnsi="Verdana"/>
                <w:b w:val="false"/>
                <w:bCs w:val="false"/>
                <w:sz w:val="20"/>
                <w:szCs w:val="20"/>
              </w:rPr>
            </w:pPr>
            <w:r>
              <w:rPr>
                <w:rFonts w:ascii="Verdana" w:hAnsi="Verdana"/>
                <w:b w:val="false"/>
                <w:bCs w:val="false"/>
                <w:sz w:val="20"/>
                <w:szCs w:val="20"/>
              </w:rPr>
              <w:t>+7812 425-12-96</w:t>
            </w:r>
          </w:p>
        </w:tc>
      </w:tr>
    </w:tbl>
    <w:p>
      <w:pPr>
        <w:pStyle w:val="Normal"/>
        <w:rPr>
          <w:rFonts w:ascii="Verdana" w:hAnsi="Verdana"/>
          <w:b w:val="false"/>
          <w:i w:val="false"/>
          <w:i w:val="false"/>
          <w:color w:val="000000"/>
          <w:sz w:val="20"/>
          <w:szCs w:val="20"/>
        </w:rPr>
      </w:pPr>
      <w:r>
        <w:rPr>
          <w:rFonts w:ascii="Verdana" w:hAnsi="Verdana"/>
          <w:b w:val="false"/>
          <w:i w:val="false"/>
          <w:color w:val="000000"/>
          <w:sz w:val="20"/>
          <w:szCs w:val="20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720" w:right="720" w:gutter="0" w:header="0" w:top="720" w:footer="720" w:bottom="1198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&lt;анонимный&gt;" w:date="2023-09-28T22:08:33Z" w:initials="">
    <w:p>
      <w:pPr>
        <w:overflowPunct w:val="true"/>
        <w:spacing w:before="0" w:after="0" w:lineRule="auto" w:line="240"/>
        <w:ind w:left="0" w:right="0" w:hanging="0"/>
        <w:rPr/>
      </w:pPr>
      <w:r>
        <w:rPr>
          <w:rFonts w:eastAsia="Segoe UI" w:cs="Tahoma" w:ascii="Liberation Serif" w:hAnsi="Liberation Serif"/>
          <w:b w:val="false"/>
          <w:i w:val="false"/>
          <w:caps w:val="false"/>
          <w:smallCaps w:val="false"/>
          <w:strike w:val="false"/>
          <w:dstrike w:val="false"/>
          <w:shadow w:val="false"/>
          <w:emboss w:val="false"/>
          <w:imprint w:val="false"/>
          <w:color w:val="000000"/>
          <w:spacing w:val="0"/>
          <w:sz w:val="20"/>
          <w:szCs w:val="24"/>
          <w:u w:val="none"/>
          <w:lang w:val="en-US" w:eastAsia="en-US" w:bidi="en-US"/>
        </w:rPr>
        <w:t>После получения оплаты от Клиента. Базой для расчета вознаграждения считаются суммы, фактически поступившие на р/счет клиента, за вычетом комиссий платежных систем за эквайринг и другие услуги.</w:t>
      </w:r>
    </w:p>
    <w:p w14:paraId="01000000">
      <w:pPr>
        <w:overflowPunct w:val="true"/>
        <w:spacing w:before="0" w:after="0" w:lineRule="auto" w:line="240"/>
        <w:ind w:left="0" w:right="0" w:hanging="0"/>
        <w:rPr/>
      </w:pPr>
      <w:r>
        <w:rPr>
          <w:rFonts w:eastAsia="Segoe UI" w:cs="Tahoma" w:ascii="Liberation Serif" w:hAnsi="Liberation Serif"/>
          <w:b w:val="false"/>
          <w:i w:val="false"/>
          <w:caps w:val="false"/>
          <w:smallCaps w:val="false"/>
          <w:strike w:val="false"/>
          <w:dstrike w:val="false"/>
          <w:shadow w:val="false"/>
          <w:emboss w:val="false"/>
          <w:imprint w:val="false"/>
          <w:color w:val="C9211E"/>
          <w:spacing w:val="0"/>
          <w:sz w:val="20"/>
          <w:szCs w:val="24"/>
          <w:u w:val="none"/>
          <w:lang w:val="en-US" w:eastAsia="en-US" w:bidi="en-US"/>
        </w:rPr>
        <w:t>НИЖЕ ВСТАВИЛ В 4.1.</w:t>
      </w:r>
    </w:p>
  </w:comment>
  <w:comment w:id="2" w:author="&lt;анонимный&gt;" w:date="2023-09-28T22:10:05Z" w:initials="">
    <w:p w14:paraId="02000000">
      <w:pPr>
        <w:overflowPunct w:val="true"/>
        <w:spacing w:before="0" w:after="0" w:lineRule="auto" w:line="240"/>
        <w:ind w:left="0" w:right="0" w:hanging="0"/>
        <w:rPr/>
      </w:pPr>
      <w:r>
        <w:rPr>
          <w:rFonts w:eastAsia="Segoe UI" w:cs="Tahoma" w:ascii="Liberation Serif" w:hAnsi="Liberation Serif"/>
          <w:b w:val="false"/>
          <w:i w:val="false"/>
          <w:caps w:val="false"/>
          <w:smallCaps w:val="false"/>
          <w:strike w:val="false"/>
          <w:dstrike w:val="false"/>
          <w:shadow w:val="false"/>
          <w:emboss w:val="false"/>
          <w:imprint w:val="false"/>
          <w:color w:val="000000"/>
          <w:spacing w:val="0"/>
          <w:sz w:val="20"/>
          <w:szCs w:val="24"/>
          <w:u w:val="none"/>
          <w:lang w:val="en-US" w:eastAsia="en-US" w:bidi="en-US"/>
        </w:rPr>
        <w:t>И в личном кабинете</w:t>
      </w:r>
    </w:p>
  </w:comment>
  <w:comment w:id="1" w:author="&lt;анонимный&gt;" w:date="2023-09-29T12:56:31Z" w:initials="">
    <w:p>
      <w:pPr>
        <w:overflowPunct w:val="true"/>
        <w:bidi w:val="0"/>
        <w:spacing w:before="0" w:after="0" w:lineRule="auto" w:line="240"/>
        <w:ind w:left="0" w:right="0" w:hanging="0"/>
        <w:jc w:val="left"/>
        <w:rPr/>
      </w:pPr>
      <w:r>
        <w:rPr>
          <w:rFonts w:eastAsia="NSimSun" w:cs="Arial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0"/>
          <w:position w:val="0"/>
          <w:sz w:val="20"/>
          <w:sz w:val="20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 xml:space="preserve">Добавил </w:t>
      </w:r>
    </w:p>
  </w:comment>
  <w:comment w:id="3" w:author="&lt;анонимный&gt;" w:date="2023-09-29T12:58:18Z" w:initials="">
    <w:p>
      <w:pPr>
        <w:overflowPunct w:val="true"/>
        <w:bidi w:val="0"/>
        <w:spacing w:before="0" w:after="0" w:lineRule="auto" w:line="240"/>
        <w:ind w:left="0" w:right="0" w:hanging="0"/>
        <w:jc w:val="left"/>
        <w:rPr/>
      </w:pPr>
      <w:r>
        <w:rPr>
          <w:rFonts w:eastAsia="NSimSun" w:cs="Arial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0"/>
          <w:position w:val="0"/>
          <w:sz w:val="20"/>
          <w:sz w:val="20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 xml:space="preserve">Добавил </w:t>
      </w:r>
    </w:p>
  </w:comment>
  <w:comment w:id="4" w:author="&lt;анонимный&gt;" w:date="2023-09-28T22:11:22Z" w:initials="">
    <w:p>
      <w:pPr>
        <w:overflowPunct w:val="true"/>
        <w:ind w:left="0" w:right="0" w:hanging="0"/>
        <w:rPr/>
      </w:pPr>
      <w:r>
        <w:rPr>
          <w:rFonts w:eastAsia="Segoe UI" w:cs="Tahoma" w:ascii="Liberation Serif" w:hAnsi="Liberation Serif"/>
          <w:b w:val="false"/>
          <w:i w:val="false"/>
          <w:caps w:val="false"/>
          <w:smallCaps w:val="false"/>
          <w:strike w:val="false"/>
          <w:dstrike w:val="false"/>
          <w:shadow w:val="false"/>
          <w:emboss w:val="false"/>
          <w:imprint w:val="false"/>
          <w:color w:val="000000"/>
          <w:spacing w:val="0"/>
          <w:sz w:val="20"/>
          <w:szCs w:val="24"/>
          <w:u w:val="none"/>
          <w:lang w:val="en-US" w:eastAsia="en-US" w:bidi="en-US"/>
        </w:rPr>
        <w:t>Не использовать для распространения реферальной ссылки  рассылку спама и другие методы, могущие негативно повлиять на репутацию компании.</w:t>
      </w:r>
    </w:p>
    <w:p>
      <w:pPr>
        <w:overflowPunct w:val="true"/>
        <w:ind w:left="0" w:right="0" w:hanging="0"/>
        <w:rPr/>
      </w:pPr>
      <w:r>
        <w:rPr>
          <w:rFonts w:eastAsia="Tahoma" w:cs="Tahoma"/>
          <w:color w:val="auto"/>
          <w:szCs w:val="24"/>
          <w:lang w:val="en-US" w:eastAsia="en-US" w:bidi="en-US"/>
        </w:rPr>
      </w:r>
    </w:p>
    <w:p>
      <w:pPr>
        <w:overflowPunct w:val="true"/>
        <w:spacing w:before="0" w:after="0" w:lineRule="auto" w:line="240"/>
        <w:ind w:left="0" w:right="0" w:hanging="0"/>
        <w:rPr/>
      </w:pPr>
      <w:r>
        <w:rPr>
          <w:rFonts w:eastAsia="Segoe UI" w:cs="Tahoma" w:ascii="Liberation Serif" w:hAnsi="Liberation Serif"/>
          <w:b w:val="false"/>
          <w:i w:val="false"/>
          <w:caps w:val="false"/>
          <w:smallCaps w:val="false"/>
          <w:strike w:val="false"/>
          <w:dstrike w:val="false"/>
          <w:shadow w:val="false"/>
          <w:emboss w:val="false"/>
          <w:imprint w:val="false"/>
          <w:color w:val="000000"/>
          <w:spacing w:val="0"/>
          <w:sz w:val="20"/>
          <w:szCs w:val="24"/>
          <w:u w:val="none"/>
          <w:lang w:val="en-US" w:eastAsia="en-US" w:bidi="en-US"/>
        </w:rPr>
        <w:t>(нужна гармотная формулировка)</w:t>
      </w:r>
    </w:p>
    <w:p w14:paraId="03000000">
      <w:pPr>
        <w:overflowPunct w:val="true"/>
        <w:spacing w:before="0" w:after="0" w:lineRule="auto" w:line="240"/>
        <w:ind w:left="0" w:right="0" w:hanging="0"/>
        <w:rPr/>
      </w:pPr>
      <w:r>
        <w:rPr>
          <w:rFonts w:eastAsia="Segoe UI" w:cs="Tahoma" w:ascii="Liberation Serif" w:hAnsi="Liberation Serif"/>
          <w:b w:val="false"/>
          <w:i w:val="false"/>
          <w:caps w:val="false"/>
          <w:smallCaps w:val="false"/>
          <w:strike w:val="false"/>
          <w:dstrike w:val="false"/>
          <w:shadow w:val="false"/>
          <w:emboss w:val="false"/>
          <w:imprint w:val="false"/>
          <w:color w:val="C9211E"/>
          <w:spacing w:val="0"/>
          <w:sz w:val="20"/>
          <w:szCs w:val="24"/>
          <w:u w:val="none"/>
          <w:lang w:val="en-US" w:eastAsia="en-US" w:bidi="en-US"/>
        </w:rPr>
        <w:t>ДОБАВИЛ ВЫШЕ</w:t>
      </w:r>
    </w:p>
  </w:comment>
  <w:comment w:id="5" w:author="&lt;анонимный&gt;" w:date="2023-09-28T22:18:21Z" w:initials="">
    <w:p>
      <w:pPr>
        <w:overflowPunct w:val="true"/>
        <w:spacing w:before="0" w:after="0" w:lineRule="auto" w:line="240"/>
        <w:ind w:left="0" w:right="0" w:hanging="0"/>
        <w:rPr/>
      </w:pPr>
      <w:r>
        <w:rPr>
          <w:rFonts w:eastAsia="Segoe UI" w:cs="Tahoma" w:ascii="Liberation Serif" w:hAnsi="Liberation Serif"/>
          <w:b w:val="false"/>
          <w:i w:val="false"/>
          <w:caps w:val="false"/>
          <w:smallCaps w:val="false"/>
          <w:strike w:val="false"/>
          <w:dstrike w:val="false"/>
          <w:shadow w:val="false"/>
          <w:emboss w:val="false"/>
          <w:imprint w:val="false"/>
          <w:color w:val="000000"/>
          <w:spacing w:val="0"/>
          <w:sz w:val="20"/>
          <w:szCs w:val="24"/>
          <w:u w:val="none"/>
          <w:lang w:val="en-US" w:eastAsia="en-US" w:bidi="en-US"/>
        </w:rPr>
        <w:t>При условии поступления средств на р/сч</w:t>
      </w:r>
    </w:p>
  </w:comment>
  <w:comment w:id="6" w:author="&lt;анонимный&gt;" w:date="2023-09-29T12:53:20Z" w:initials="">
    <w:p>
      <w:pPr>
        <w:overflowPunct w:val="true"/>
        <w:bidi w:val="0"/>
        <w:spacing w:before="0" w:after="0" w:lineRule="auto" w:line="240"/>
        <w:ind w:left="0" w:right="0" w:hanging="0"/>
        <w:jc w:val="left"/>
        <w:rPr/>
      </w:pPr>
      <w:r>
        <w:rPr>
          <w:rFonts w:eastAsia="NSimSun" w:cs="Arial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0"/>
          <w:position w:val="0"/>
          <w:sz w:val="20"/>
          <w:sz w:val="20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>Сюда добавил</w:t>
      </w:r>
    </w:p>
  </w:comment>
  <w:comment w:id="7" w:author="&lt;анонимный&gt;" w:date="2023-09-28T22:22:38Z" w:initials="">
    <w:p>
      <w:pPr>
        <w:overflowPunct w:val="true"/>
        <w:spacing w:before="0" w:after="0" w:lineRule="auto" w:line="240"/>
        <w:ind w:left="0" w:right="0" w:hanging="0"/>
        <w:rPr/>
      </w:pPr>
      <w:r>
        <w:rPr>
          <w:rFonts w:eastAsia="Segoe UI" w:cs="Tahoma" w:ascii="Liberation Serif" w:hAnsi="Liberation Serif"/>
          <w:b w:val="false"/>
          <w:i w:val="false"/>
          <w:caps w:val="false"/>
          <w:smallCaps w:val="false"/>
          <w:strike w:val="false"/>
          <w:dstrike w:val="false"/>
          <w:shadow w:val="false"/>
          <w:emboss w:val="false"/>
          <w:imprint w:val="false"/>
          <w:color w:val="000000"/>
          <w:spacing w:val="0"/>
          <w:sz w:val="20"/>
          <w:szCs w:val="24"/>
          <w:u w:val="none"/>
          <w:lang w:val="en-US" w:eastAsia="en-US" w:bidi="en-US"/>
        </w:rPr>
        <w:t>Возможен ли такой порядок:</w:t>
      </w:r>
    </w:p>
    <w:p>
      <w:pPr>
        <w:overflowPunct w:val="true"/>
        <w:spacing w:before="0" w:after="0" w:lineRule="auto" w:line="240"/>
        <w:ind w:left="0" w:right="0" w:hanging="0"/>
        <w:rPr/>
      </w:pPr>
      <w:r>
        <w:rPr>
          <w:rFonts w:eastAsia="Segoe UI" w:cs="Tahoma" w:ascii="Liberation Serif" w:hAnsi="Liberation Serif"/>
          <w:b w:val="false"/>
          <w:i w:val="false"/>
          <w:caps w:val="false"/>
          <w:smallCaps w:val="false"/>
          <w:strike w:val="false"/>
          <w:dstrike w:val="false"/>
          <w:shadow w:val="false"/>
          <w:emboss w:val="false"/>
          <w:imprint w:val="false"/>
          <w:color w:val="000000"/>
          <w:spacing w:val="0"/>
          <w:sz w:val="20"/>
          <w:szCs w:val="24"/>
          <w:u w:val="none"/>
          <w:lang w:val="en-US" w:eastAsia="en-US" w:bidi="en-US"/>
        </w:rPr>
        <w:t>- сумма, подлежащая перечислению за отчетный период, приравнивается к акту об оказанных услугах со стороны партнера</w:t>
      </w:r>
    </w:p>
    <w:p>
      <w:pPr>
        <w:overflowPunct w:val="true"/>
        <w:ind w:left="0" w:right="0" w:hanging="0"/>
        <w:rPr/>
      </w:pPr>
      <w:r>
        <w:rPr>
          <w:rFonts w:eastAsia="Segoe UI" w:cs="Tahoma" w:ascii="Liberation Serif" w:hAnsi="Liberation Serif"/>
          <w:b w:val="false"/>
          <w:i w:val="false"/>
          <w:caps w:val="false"/>
          <w:smallCaps w:val="false"/>
          <w:strike w:val="false"/>
          <w:dstrike w:val="false"/>
          <w:shadow w:val="false"/>
          <w:emboss w:val="false"/>
          <w:imprint w:val="false"/>
          <w:color w:val="000000"/>
          <w:spacing w:val="0"/>
          <w:sz w:val="20"/>
          <w:szCs w:val="24"/>
          <w:u w:val="none"/>
          <w:lang w:val="en-US" w:eastAsia="en-US" w:bidi="en-US"/>
        </w:rPr>
        <w:t>- Компания оплачивает на основании договора</w:t>
      </w:r>
    </w:p>
    <w:p>
      <w:pPr>
        <w:overflowPunct w:val="true"/>
        <w:ind w:left="0" w:right="0" w:hanging="0"/>
        <w:rPr/>
      </w:pPr>
      <w:r>
        <w:rPr>
          <w:rFonts w:eastAsia="Segoe UI" w:cs="Tahoma" w:ascii="Liberation Serif" w:hAnsi="Liberation Serif"/>
          <w:b w:val="false"/>
          <w:i w:val="false"/>
          <w:caps w:val="false"/>
          <w:smallCaps w:val="false"/>
          <w:strike w:val="false"/>
          <w:dstrike w:val="false"/>
          <w:shadow w:val="false"/>
          <w:emboss w:val="false"/>
          <w:imprint w:val="false"/>
          <w:color w:val="000000"/>
          <w:spacing w:val="0"/>
          <w:sz w:val="20"/>
          <w:szCs w:val="24"/>
          <w:u w:val="none"/>
          <w:lang w:val="en-US" w:eastAsia="en-US" w:bidi="en-US"/>
        </w:rPr>
        <w:t>- Компания готовит двусторонний акт и отправляет на подпись партнеру помэлектронной почте</w:t>
      </w:r>
    </w:p>
    <w:p>
      <w:pPr>
        <w:overflowPunct w:val="true"/>
        <w:spacing w:before="0" w:after="0" w:lineRule="auto" w:line="240"/>
        <w:ind w:left="0" w:right="0" w:hanging="0"/>
        <w:rPr/>
      </w:pPr>
      <w:r>
        <w:rPr>
          <w:rFonts w:eastAsia="Segoe UI" w:cs="Tahoma" w:ascii="Liberation Serif" w:hAnsi="Liberation Serif"/>
          <w:b w:val="false"/>
          <w:i w:val="false"/>
          <w:caps w:val="false"/>
          <w:smallCaps w:val="false"/>
          <w:strike w:val="false"/>
          <w:dstrike w:val="false"/>
          <w:shadow w:val="false"/>
          <w:emboss w:val="false"/>
          <w:imprint w:val="false"/>
          <w:color w:val="000000"/>
          <w:spacing w:val="0"/>
          <w:sz w:val="20"/>
          <w:szCs w:val="24"/>
          <w:u w:val="none"/>
          <w:lang w:val="en-US" w:eastAsia="en-US" w:bidi="en-US"/>
        </w:rPr>
        <w:t>- если акт не возвращен партнером в течение 5 дней, он считается принятым</w:t>
      </w:r>
    </w:p>
  </w:comment>
  <w:comment w:id="8" w:author="&lt;анонимный&gt;" w:date="2023-09-29T13:04:19Z" w:initials="">
    <w:p>
      <w:pPr>
        <w:overflowPunct w:val="true"/>
        <w:bidi w:val="0"/>
        <w:spacing w:before="0" w:after="0" w:lineRule="auto" w:line="240"/>
        <w:ind w:left="0" w:right="0" w:hanging="0"/>
        <w:jc w:val="left"/>
        <w:rPr/>
      </w:pPr>
      <w:r>
        <w:rPr>
          <w:rFonts w:eastAsia="NSimSun" w:cs="Arial" w:ascii="Liberation Serif" w:hAnsi="Liberation Serif"/>
          <w:b w:val="false"/>
          <w:bCs w:val="false"/>
          <w:i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0"/>
          <w:position w:val="0"/>
          <w:sz w:val="16"/>
          <w:sz w:val="16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>Ответ на &lt;анонимный&gt; (28.09.2023, 22:22): "если акт не возвращен партнером в течение 5 дней, он считается принятым"</w:t>
      </w:r>
    </w:p>
    <w:p>
      <w:pPr>
        <w:overflowPunct w:val="true"/>
        <w:ind w:left="0" w:right="0" w:hanging="0"/>
        <w:rPr/>
      </w:pPr>
      <w:r>
        <w:rPr>
          <w:rFonts w:eastAsia="Segoe UI" w:cs="Tahoma"/>
          <w:color w:val="auto"/>
          <w:sz w:val="20"/>
          <w:szCs w:val="24"/>
          <w:lang w:val="ru-RU" w:eastAsia="zh-CN" w:bidi="hi-IN"/>
        </w:rPr>
        <w:t>У нас есть п.4.4., они должны подтвердить размер вознаграждения, а потом вы выплачиваете и присылаете акт</w:t>
      </w:r>
    </w:p>
  </w:comment>
  <w:comment w:id="9" w:author="&lt;анонимный&gt;" w:date="2023-09-29T13:03:18Z" w:initials="">
    <w:p>
      <w:pPr>
        <w:overflowPunct w:val="true"/>
        <w:bidi w:val="0"/>
        <w:spacing w:before="0" w:after="0" w:lineRule="auto" w:line="240"/>
        <w:ind w:left="0" w:right="0" w:hanging="0"/>
        <w:jc w:val="left"/>
        <w:rPr/>
      </w:pPr>
      <w:r>
        <w:rPr>
          <w:rFonts w:eastAsia="NSimSun" w:cs="Arial" w:ascii="Liberation Serif" w:hAnsi="Liberation Serif"/>
          <w:b w:val="false"/>
          <w:bCs w:val="false"/>
          <w:i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0"/>
          <w:position w:val="0"/>
          <w:sz w:val="16"/>
          <w:sz w:val="16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>Ответ на &lt;анонимный&gt; (28.09.2023, 22:22): "Компания готовит двусторонний акт и отправляет на подпись партнеру помэлектронной почте"</w:t>
      </w:r>
    </w:p>
    <w:p>
      <w:pPr>
        <w:overflowPunct w:val="true"/>
        <w:ind w:left="0" w:right="0" w:hanging="0"/>
        <w:rPr/>
      </w:pPr>
      <w:r>
        <w:rPr>
          <w:rFonts w:eastAsia="Segoe UI" w:cs="Tahoma"/>
          <w:color w:val="auto"/>
          <w:sz w:val="20"/>
          <w:szCs w:val="24"/>
          <w:lang w:val="ru-RU" w:eastAsia="zh-CN" w:bidi="hi-IN"/>
        </w:rPr>
        <w:t>Это указанно в п.4.5.</w:t>
      </w:r>
    </w:p>
  </w:comment>
  <w:comment w:id="10" w:author="&lt;анонимный&gt;" w:date="2023-09-29T13:02:00Z" w:initials="">
    <w:p>
      <w:pPr>
        <w:overflowPunct w:val="true"/>
        <w:bidi w:val="0"/>
        <w:spacing w:before="0" w:after="0" w:lineRule="auto" w:line="240"/>
        <w:ind w:left="0" w:right="0" w:hanging="0"/>
        <w:jc w:val="left"/>
        <w:rPr/>
      </w:pPr>
      <w:r>
        <w:rPr>
          <w:rFonts w:eastAsia="NSimSun" w:cs="Arial" w:ascii="Liberation Serif" w:hAnsi="Liberation Serif"/>
          <w:b w:val="false"/>
          <w:bCs w:val="false"/>
          <w:i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0"/>
          <w:position w:val="0"/>
          <w:sz w:val="16"/>
          <w:sz w:val="16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>Ответ на &lt;анонимный&gt; (28.09.2023, 22:22): "- Компания оплачивает на основании договора"</w:t>
      </w:r>
    </w:p>
    <w:p>
      <w:pPr>
        <w:overflowPunct w:val="true"/>
        <w:ind w:left="0" w:right="0" w:hanging="0"/>
        <w:rPr/>
      </w:pPr>
      <w:r>
        <w:rPr>
          <w:rFonts w:eastAsia="Segoe UI" w:cs="Tahoma"/>
          <w:color w:val="auto"/>
          <w:sz w:val="20"/>
          <w:szCs w:val="24"/>
          <w:lang w:val="ru-RU" w:eastAsia="zh-CN" w:bidi="hi-IN"/>
        </w:rPr>
        <w:t xml:space="preserve">А зачем вам это, вы начислили,а они должны подать заявку на получение, нет заявки у вас нет обязанности оплатить. </w:t>
      </w:r>
    </w:p>
  </w:comment>
  <w:comment w:id="11" w:author="&lt;анонимный&gt;" w:date="2023-09-29T13:01:28Z" w:initials="">
    <w:p>
      <w:pPr>
        <w:overflowPunct w:val="true"/>
        <w:bidi w:val="0"/>
        <w:spacing w:before="0" w:after="0" w:lineRule="auto" w:line="240"/>
        <w:ind w:left="0" w:right="0" w:hanging="0"/>
        <w:jc w:val="left"/>
        <w:rPr/>
      </w:pPr>
      <w:r>
        <w:rPr>
          <w:rFonts w:eastAsia="NSimSun" w:cs="Arial" w:ascii="Liberation Serif" w:hAnsi="Liberation Serif"/>
          <w:b w:val="false"/>
          <w:bCs w:val="false"/>
          <w:i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0"/>
          <w:position w:val="0"/>
          <w:sz w:val="16"/>
          <w:sz w:val="16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>Ответ на &lt;анонимный&gt; (28.09.2023, 22:22): "- сумма, подлежащая перечислению за отчетный период, приравнивается к акту об оказанных услугах со стороны партнера"</w:t>
      </w:r>
    </w:p>
    <w:p>
      <w:pPr>
        <w:overflowPunct w:val="true"/>
        <w:ind w:left="0" w:right="0" w:hanging="0"/>
        <w:rPr/>
      </w:pPr>
      <w:r>
        <w:rPr>
          <w:rFonts w:eastAsia="Segoe UI" w:cs="Tahoma"/>
          <w:color w:val="auto"/>
          <w:sz w:val="20"/>
          <w:szCs w:val="24"/>
          <w:lang w:val="ru-RU" w:eastAsia="zh-CN" w:bidi="hi-IN"/>
        </w:rPr>
        <w:t>НЕТ -сумма не может быть приравнена к АКТУ</w:t>
      </w:r>
    </w:p>
  </w:comment>
  <w:comment w:id="12" w:author="&lt;анонимный&gt;" w:date="2023-10-02T13:16:33Z" w:initials="">
    <w:p>
      <w:pPr>
        <w:overflowPunct w:val="true"/>
        <w:bidi w:val="0"/>
        <w:spacing w:before="0" w:after="0" w:lineRule="auto" w:line="240"/>
        <w:ind w:left="0" w:right="0" w:hanging="0"/>
        <w:jc w:val="left"/>
        <w:rPr/>
      </w:pPr>
      <w:r>
        <w:rPr>
          <w:rFonts w:eastAsia="NSimSun" w:cs="Arial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0"/>
          <w:position w:val="0"/>
          <w:sz w:val="20"/>
          <w:sz w:val="20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>исправил</w:t>
      </w:r>
    </w:p>
  </w:comment>
  <w:comment w:id="13" w:author="&lt;анонимный&gt;" w:date="2023-09-28T22:29:17Z" w:initials="">
    <w:p w14:paraId="04000000">
      <w:pPr>
        <w:overflowPunct w:val="true"/>
        <w:spacing w:before="0" w:after="0" w:lineRule="auto" w:line="240"/>
        <w:ind w:left="0" w:right="0" w:hanging="0"/>
        <w:rPr/>
      </w:pPr>
      <w:r>
        <w:rPr>
          <w:rFonts w:eastAsia="Segoe UI" w:cs="Tahoma" w:ascii="Liberation Serif" w:hAnsi="Liberation Serif"/>
          <w:b w:val="false"/>
          <w:i w:val="false"/>
          <w:caps w:val="false"/>
          <w:smallCaps w:val="false"/>
          <w:strike w:val="false"/>
          <w:dstrike w:val="false"/>
          <w:shadow w:val="false"/>
          <w:emboss w:val="false"/>
          <w:imprint w:val="false"/>
          <w:color w:val="000000"/>
          <w:spacing w:val="0"/>
          <w:sz w:val="20"/>
          <w:szCs w:val="24"/>
          <w:u w:val="none"/>
          <w:lang w:val="en-US" w:eastAsia="en-US" w:bidi="en-US"/>
        </w:rPr>
        <w:t>Просьба посмотреть еще раз политику на сайте, точно ли там все соответствует</w:t>
      </w:r>
    </w:p>
  </w:comment>
  <w:comment w:id="14" w:author="&lt;анонимный&gt;" w:date="2023-09-29T13:09:35Z" w:initials="">
    <w:p>
      <w:pPr>
        <w:overflowPunct w:val="true"/>
        <w:bidi w:val="0"/>
        <w:spacing w:before="0" w:after="0" w:lineRule="auto" w:line="240"/>
        <w:ind w:left="0" w:right="0" w:hanging="0"/>
        <w:jc w:val="left"/>
        <w:rPr/>
      </w:pPr>
      <w:r>
        <w:rPr>
          <w:rFonts w:eastAsia="NSimSun" w:cs="Arial" w:ascii="Liberation Serif" w:hAnsi="Liberation Serif"/>
          <w:b w:val="false"/>
          <w:bCs w:val="false"/>
          <w:i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0"/>
          <w:position w:val="0"/>
          <w:sz w:val="16"/>
          <w:sz w:val="16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>Ответ на &lt;анонимный&gt; (28.09.2023, 22:29): "Просьба посмотреть еще раз политику на сайте, точно ли там все соответствует"</w:t>
      </w:r>
    </w:p>
    <w:p>
      <w:pPr>
        <w:overflowPunct w:val="true"/>
        <w:ind w:left="0" w:right="0" w:hanging="0"/>
        <w:rPr/>
      </w:pPr>
      <w:r>
        <w:rPr>
          <w:rFonts w:eastAsia="Segoe UI" w:cs="Tahoma"/>
          <w:color w:val="auto"/>
          <w:sz w:val="20"/>
          <w:szCs w:val="24"/>
          <w:lang w:val="ru-RU" w:eastAsia="zh-CN" w:bidi="hi-IN"/>
        </w:rPr>
        <w:t xml:space="preserve">Вроде да </w:t>
      </w:r>
    </w:p>
  </w:comment>
  <w:comment w:id="15" w:author="&lt;анонимный&gt;" w:date="2023-09-28T22:30:42Z" w:initials="">
    <w:p>
      <w:pPr>
        <w:overflowPunct w:val="true"/>
        <w:spacing w:before="0" w:after="0" w:lineRule="auto" w:line="240"/>
        <w:ind w:left="0" w:right="0" w:hanging="0"/>
        <w:rPr/>
      </w:pPr>
      <w:r>
        <w:rPr>
          <w:rFonts w:eastAsia="Segoe UI" w:cs="Tahoma" w:ascii="Liberation Serif" w:hAnsi="Liberation Serif"/>
          <w:b w:val="false"/>
          <w:i w:val="false"/>
          <w:caps w:val="false"/>
          <w:smallCaps w:val="false"/>
          <w:strike w:val="false"/>
          <w:dstrike w:val="false"/>
          <w:shadow w:val="false"/>
          <w:emboss w:val="false"/>
          <w:imprint w:val="false"/>
          <w:color w:val="000000"/>
          <w:spacing w:val="0"/>
          <w:sz w:val="20"/>
          <w:szCs w:val="24"/>
          <w:u w:val="none"/>
          <w:lang w:val="en-US" w:eastAsia="en-US" w:bidi="en-US"/>
        </w:rPr>
        <w:t>Нужно ли где то указать, что договор размещен на сайте компании и начало работы по партнерской программе является его акцептом? То есть подписывать не обязательно</w:t>
      </w:r>
    </w:p>
  </w:comment>
  <w:comment w:id="16" w:author="&lt;анонимный&gt;" w:date="2023-09-29T13:12:10Z" w:initials="">
    <w:p>
      <w:pPr>
        <w:overflowPunct w:val="true"/>
        <w:bidi w:val="0"/>
        <w:spacing w:before="0" w:after="0" w:lineRule="auto" w:line="240"/>
        <w:ind w:left="0" w:right="0" w:hanging="0"/>
        <w:jc w:val="left"/>
        <w:rPr/>
      </w:pPr>
      <w:r>
        <w:rPr>
          <w:rFonts w:eastAsia="NSimSun" w:cs="Arial" w:ascii="Liberation Serif" w:hAnsi="Liberation Serif"/>
          <w:b w:val="false"/>
          <w:bCs w:val="false"/>
          <w:i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000000"/>
          <w:spacing w:val="0"/>
          <w:w w:val="100"/>
          <w:kern w:val="0"/>
          <w:position w:val="0"/>
          <w:sz w:val="16"/>
          <w:sz w:val="16"/>
          <w:szCs w:val="20"/>
          <w:u w:val="none"/>
          <w:shd w:fill="auto" w:val="clear"/>
          <w:vertAlign w:val="baseline"/>
          <w:em w:val="none"/>
          <w:lang w:val="ru-RU" w:eastAsia="zh-CN" w:bidi="hi-IN"/>
        </w:rPr>
        <w:t>Ответ на &lt;анонимный&gt; (28.09.2023, 22:30): "Нужно ли где то указать, что договор размещен на сайте компании и начало работы по партнерской программе является его акцептом? То есть подписывать не обязательно"</w:t>
      </w:r>
    </w:p>
    <w:p>
      <w:pPr>
        <w:overflowPunct w:val="true"/>
        <w:ind w:left="0" w:right="0" w:hanging="0"/>
        <w:rPr/>
      </w:pPr>
      <w:r>
        <w:rPr>
          <w:rFonts w:eastAsia="Segoe UI" w:cs="Tahoma"/>
          <w:color w:val="auto"/>
          <w:sz w:val="20"/>
          <w:szCs w:val="24"/>
          <w:lang w:val="ru-RU" w:eastAsia="zh-CN" w:bidi="hi-IN"/>
        </w:rPr>
        <w:t xml:space="preserve">Думаю нет, вроде все есть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01000000" w15:done="1"/>
  <w15:commentEx w15:paraId="02000000" w15:done="1"/>
  <w15:commentEx w15:paraId="03000000" w15:done="1"/>
  <w15:commentEx w15:paraId="04000000" w15:done="1"/>
</w15:commentsEx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XO Thame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Verdana" w:hAnsi="Verdana"/>
        <w:sz w:val="16"/>
      </w:rPr>
    </w:pPr>
    <w:bookmarkStart w:id="0" w:name="PageNumWizard_FOOTER_Базовый3"/>
    <w:r>
      <w:rPr>
        <w:rFonts w:ascii="Verdana" w:hAnsi="Verdana"/>
        <w:sz w:val="16"/>
      </w:rPr>
      <w:fldChar w:fldCharType="begin"/>
    </w:r>
    <w:r>
      <w:rPr>
        <w:sz w:val="16"/>
        <w:rFonts w:ascii="Verdana" w:hAnsi="Verdana"/>
      </w:rPr>
      <w:instrText xml:space="preserve"> PAGE </w:instrText>
    </w:r>
    <w:r>
      <w:rPr>
        <w:sz w:val="16"/>
        <w:rFonts w:ascii="Verdana" w:hAnsi="Verdana"/>
      </w:rPr>
      <w:fldChar w:fldCharType="separate"/>
    </w:r>
    <w:r>
      <w:rPr>
        <w:sz w:val="16"/>
        <w:rFonts w:ascii="Verdana" w:hAnsi="Verdana"/>
      </w:rPr>
      <w:t>4</w:t>
    </w:r>
    <w:r>
      <w:rPr>
        <w:sz w:val="16"/>
        <w:rFonts w:ascii="Verdana" w:hAnsi="Verdana"/>
      </w:rPr>
      <w:fldChar w:fldCharType="end"/>
    </w:r>
    <w:bookmarkEnd w:id="0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Verdana" w:hAnsi="Verdana"/>
        <w:sz w:val="16"/>
      </w:rPr>
    </w:pPr>
    <w:bookmarkStart w:id="1" w:name="PageNumWizard_FOOTER_Базовый3"/>
    <w:r>
      <w:rPr>
        <w:rFonts w:ascii="Verdana" w:hAnsi="Verdana"/>
        <w:sz w:val="16"/>
      </w:rPr>
      <w:fldChar w:fldCharType="begin"/>
    </w:r>
    <w:r>
      <w:rPr>
        <w:sz w:val="16"/>
        <w:rFonts w:ascii="Verdana" w:hAnsi="Verdana"/>
      </w:rPr>
      <w:instrText xml:space="preserve"> PAGE </w:instrText>
    </w:r>
    <w:r>
      <w:rPr>
        <w:sz w:val="16"/>
        <w:rFonts w:ascii="Verdana" w:hAnsi="Verdana"/>
      </w:rPr>
      <w:fldChar w:fldCharType="separate"/>
    </w:r>
    <w:r>
      <w:rPr>
        <w:sz w:val="16"/>
        <w:rFonts w:ascii="Verdana" w:hAnsi="Verdana"/>
      </w:rPr>
      <w:t>4</w:t>
    </w:r>
    <w:r>
      <w:rPr>
        <w:sz w:val="16"/>
        <w:rFonts w:ascii="Verdana" w:hAnsi="Verdana"/>
      </w:rPr>
      <w:fldChar w:fldCharType="end"/>
    </w:r>
    <w:bookmarkEnd w:id="1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 %1 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 %1.%2 "/>
      <w:lvlJc w:val="left"/>
      <w:pPr>
        <w:tabs>
          <w:tab w:val="num" w:pos="0"/>
        </w:tabs>
        <w:ind w:left="360" w:hanging="360"/>
      </w:pPr>
      <w:rPr/>
    </w:lvl>
    <w:lvl w:ilvl="2">
      <w:start w:val="1"/>
      <w:numFmt w:val="decimal"/>
      <w:lvlText w:val=" %1.%2.%3 "/>
      <w:lvlJc w:val="left"/>
      <w:pPr>
        <w:tabs>
          <w:tab w:val="num" w:pos="0"/>
        </w:tabs>
        <w:ind w:left="360" w:hanging="360"/>
      </w:pPr>
      <w:rPr/>
    </w:lvl>
    <w:lvl w:ilvl="3">
      <w:start w:val="1"/>
      <w:numFmt w:val="decimal"/>
      <w:lvlText w:val=" %1.%2.%3.%4 "/>
      <w:lvlJc w:val="left"/>
      <w:pPr>
        <w:tabs>
          <w:tab w:val="num" w:pos="1800"/>
        </w:tabs>
        <w:ind w:left="360" w:hanging="360"/>
      </w:pPr>
      <w:rPr/>
    </w:lvl>
    <w:lvl w:ilvl="4">
      <w:start w:val="1"/>
      <w:numFmt w:val="decimal"/>
      <w:lvlText w:val=" %1.%2.%3.%4.%5 "/>
      <w:lvlJc w:val="left"/>
      <w:pPr>
        <w:tabs>
          <w:tab w:val="num" w:pos="2160"/>
        </w:tabs>
        <w:ind w:left="360" w:hanging="360"/>
      </w:pPr>
      <w:rPr/>
    </w:lvl>
    <w:lvl w:ilvl="5">
      <w:start w:val="1"/>
      <w:numFmt w:val="decimal"/>
      <w:lvlText w:val=" %1.%2.%3.%4.%5.%6 "/>
      <w:lvlJc w:val="left"/>
      <w:pPr>
        <w:tabs>
          <w:tab w:val="num" w:pos="2520"/>
        </w:tabs>
        <w:ind w:left="360" w:hanging="360"/>
      </w:pPr>
      <w:rPr/>
    </w:lvl>
    <w:lvl w:ilvl="6">
      <w:start w:val="1"/>
      <w:numFmt w:val="decimal"/>
      <w:lvlText w:val=" %1.%2.%3.%4.%5.%6.%7 "/>
      <w:lvlJc w:val="left"/>
      <w:pPr>
        <w:tabs>
          <w:tab w:val="num" w:pos="2880"/>
        </w:tabs>
        <w:ind w:left="360" w:hanging="360"/>
      </w:pPr>
      <w:rPr/>
    </w:lvl>
    <w:lvl w:ilvl="7">
      <w:start w:val="1"/>
      <w:numFmt w:val="decimal"/>
      <w:lvlText w:val=" %1.%2.%3.%4.%5.%6.%7.%8 "/>
      <w:lvlJc w:val="left"/>
      <w:pPr>
        <w:tabs>
          <w:tab w:val="num" w:pos="3240"/>
        </w:tabs>
        <w:ind w:left="360" w:hanging="360"/>
      </w:pPr>
      <w:rPr/>
    </w:lvl>
    <w:lvl w:ilvl="8">
      <w:start w:val="1"/>
      <w:numFmt w:val="decimal"/>
      <w:lvlText w:val=" %1.%2.%3.%4.%5.%6.%7.%8.%9 "/>
      <w:lvlJc w:val="left"/>
      <w:pPr>
        <w:tabs>
          <w:tab w:val="num" w:pos="3600"/>
        </w:tabs>
        <w:ind w:left="36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color w:val="000000"/>
        <w:sz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4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itle" w:uiPriority="10" w:semiHidden="0" w:unhideWhenUsed="0" w:qFormat="1"/>
    <w:lsdException w:name="Subtitle" w:uiPriority="11" w:semiHidden="0" w:unhideWhenUsed="0" w:qFormat="1"/>
    <w:lsdException w:name="Header and Footer" w:semiHidden="0" w:unhideWhenUsed="0" w:qFormat="0"/>
    <w:lsdException w:name="Footnote" w:semiHidden="0" w:unhideWhenUsed="0" w:qFormat="0"/>
    <w:lsdException w:name="toc 1" w:uiPriority="39" w:semiHidden="0" w:unhideWhenUsed="0" w:qFormat="0"/>
    <w:lsdException w:name="toc 2" w:uiPriority="39" w:semiHidden="0" w:unhideWhenUsed="0" w:qFormat="0"/>
    <w:lsdException w:name="toc 3" w:uiPriority="39" w:semiHidden="0" w:unhideWhenUsed="0" w:qFormat="0"/>
    <w:lsdException w:name="toc 4" w:uiPriority="39" w:semiHidden="0" w:unhideWhenUsed="0" w:qFormat="0"/>
    <w:lsdException w:name="toc 5" w:uiPriority="39" w:semiHidden="0" w:unhideWhenUsed="0" w:qFormat="0"/>
    <w:lsdException w:name="toc 6" w:uiPriority="39" w:semiHidden="0" w:unhideWhenUsed="0" w:qFormat="0"/>
    <w:lsdException w:name="toc 7" w:uiPriority="39" w:semiHidden="0" w:unhideWhenUsed="0" w:qFormat="0"/>
    <w:lsdException w:name="toc 8" w:uiPriority="39" w:semiHidden="0" w:unhideWhenUsed="0" w:qFormat="0"/>
    <w:lsdException w:name="toc 9" w:uiPriority="39" w:semiHidden="0" w:unhideWhenUsed="0" w:qFormat="0"/>
    <w:lsdException w:name="Hyperlink" w:semiHidden="0" w:unhideWhenUsed="0" w:qFormat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4"/>
      <w:szCs w:val="20"/>
      <w:lang w:val="ru-RU" w:eastAsia="zh-CN" w:bidi="hi-IN"/>
    </w:rPr>
  </w:style>
  <w:style w:type="paragraph" w:styleId="Heading1">
    <w:name w:val="heading 1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0"/>
    </w:pPr>
    <w:rPr>
      <w:rFonts w:ascii="XO Thames" w:hAnsi="XO Thames" w:eastAsia="NSimSun" w:cs="Arial"/>
      <w:b/>
      <w:color w:val="000000"/>
      <w:spacing w:val="0"/>
      <w:kern w:val="0"/>
      <w:sz w:val="32"/>
      <w:szCs w:val="20"/>
      <w:lang w:val="ru-RU" w:eastAsia="zh-CN" w:bidi="hi-IN"/>
    </w:rPr>
  </w:style>
  <w:style w:type="paragraph" w:styleId="Heading2">
    <w:name w:val="heading 2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1"/>
    </w:pPr>
    <w:rPr>
      <w:rFonts w:ascii="XO Thames" w:hAnsi="XO Thames" w:eastAsia="NSimSun" w:cs="Arial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Heading3">
    <w:name w:val="heading 3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2"/>
    </w:pPr>
    <w:rPr>
      <w:rFonts w:ascii="XO Thames" w:hAnsi="XO Thames" w:eastAsia="NSimSun" w:cs="Arial"/>
      <w:b/>
      <w:color w:val="000000"/>
      <w:spacing w:val="0"/>
      <w:kern w:val="0"/>
      <w:sz w:val="26"/>
      <w:szCs w:val="20"/>
      <w:lang w:val="ru-RU" w:eastAsia="zh-CN" w:bidi="hi-IN"/>
    </w:rPr>
  </w:style>
  <w:style w:type="paragraph" w:styleId="Heading4">
    <w:name w:val="heading 4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3"/>
    </w:pPr>
    <w:rPr>
      <w:rFonts w:ascii="XO Thames" w:hAnsi="XO Thames" w:eastAsia="NSimSun" w:cs="Arial"/>
      <w:b/>
      <w:color w:val="000000"/>
      <w:spacing w:val="0"/>
      <w:kern w:val="0"/>
      <w:sz w:val="24"/>
      <w:szCs w:val="20"/>
      <w:lang w:val="ru-RU" w:eastAsia="zh-CN" w:bidi="hi-IN"/>
    </w:rPr>
  </w:style>
  <w:style w:type="paragraph" w:styleId="Heading5">
    <w:name w:val="heading 5"/>
    <w:next w:val="Normal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4"/>
    </w:pPr>
    <w:rPr>
      <w:rFonts w:ascii="XO Thames" w:hAnsi="XO Thames" w:eastAsia="NSimSun" w:cs="Arial"/>
      <w:b/>
      <w:color w:val="000000"/>
      <w:spacing w:val="0"/>
      <w:kern w:val="0"/>
      <w:sz w:val="22"/>
      <w:szCs w:val="20"/>
      <w:lang w:val="ru-RU" w:eastAsia="zh-CN" w:bidi="hi-IN"/>
    </w:rPr>
  </w:style>
  <w:style w:type="character" w:styleId="Contents2">
    <w:name w:val="Contents 2"/>
    <w:qFormat/>
    <w:rPr>
      <w:rFonts w:ascii="XO Thames" w:hAnsi="XO Thames"/>
      <w:sz w:val="28"/>
    </w:rPr>
  </w:style>
  <w:style w:type="character" w:styleId="Contents4">
    <w:name w:val="Contents 4"/>
    <w:qFormat/>
    <w:rPr>
      <w:rFonts w:ascii="XO Thames" w:hAnsi="XO Thames"/>
      <w:sz w:val="28"/>
    </w:rPr>
  </w:style>
  <w:style w:type="character" w:styleId="Contents6">
    <w:name w:val="Contents 6"/>
    <w:qFormat/>
    <w:rPr>
      <w:rFonts w:ascii="XO Thames" w:hAnsi="XO Thames"/>
      <w:sz w:val="28"/>
    </w:rPr>
  </w:style>
  <w:style w:type="character" w:styleId="Contents7">
    <w:name w:val="Contents 7"/>
    <w:qFormat/>
    <w:rPr>
      <w:rFonts w:ascii="XO Thames" w:hAnsi="XO Thames"/>
      <w:sz w:val="28"/>
    </w:rPr>
  </w:style>
  <w:style w:type="character" w:styleId="Endnote">
    <w:name w:val="Endnote"/>
    <w:link w:val="Endnote1"/>
    <w:qFormat/>
    <w:rPr>
      <w:rFonts w:ascii="XO Thames" w:hAnsi="XO Thames"/>
      <w:sz w:val="22"/>
    </w:rPr>
  </w:style>
  <w:style w:type="character" w:styleId="Heading31">
    <w:name w:val="Heading 31"/>
    <w:qFormat/>
    <w:rPr>
      <w:rFonts w:ascii="XO Thames" w:hAnsi="XO Thames"/>
      <w:b/>
      <w:sz w:val="26"/>
    </w:rPr>
  </w:style>
  <w:style w:type="character" w:styleId="Style9">
    <w:name w:val="Содержимое таблицы"/>
    <w:link w:val="12"/>
    <w:qFormat/>
    <w:rPr/>
  </w:style>
  <w:style w:type="character" w:styleId="Textbody">
    <w:name w:val="Text body"/>
    <w:qFormat/>
    <w:rPr/>
  </w:style>
  <w:style w:type="character" w:styleId="Style10">
    <w:name w:val="Символ сноски"/>
    <w:link w:val="13"/>
    <w:qFormat/>
    <w:rPr>
      <w:vertAlign w:val="superscript"/>
    </w:rPr>
  </w:style>
  <w:style w:type="character" w:styleId="Style11">
    <w:name w:val="Заголовок таблицы"/>
    <w:basedOn w:val="Style9"/>
    <w:link w:val="14"/>
    <w:qFormat/>
    <w:rPr>
      <w:b/>
    </w:rPr>
  </w:style>
  <w:style w:type="character" w:styleId="Contents3">
    <w:name w:val="Contents 3"/>
    <w:qFormat/>
    <w:rPr>
      <w:rFonts w:ascii="XO Thames" w:hAnsi="XO Thames"/>
      <w:sz w:val="28"/>
    </w:rPr>
  </w:style>
  <w:style w:type="character" w:styleId="Style12">
    <w:name w:val="Символ нумерации"/>
    <w:link w:val="15"/>
    <w:qFormat/>
    <w:rPr/>
  </w:style>
  <w:style w:type="character" w:styleId="Style13">
    <w:name w:val="Указатель"/>
    <w:link w:val="11111112"/>
    <w:qFormat/>
    <w:rPr/>
  </w:style>
  <w:style w:type="character" w:styleId="Style14">
    <w:name w:val="Заголовок"/>
    <w:link w:val="11111111"/>
    <w:qFormat/>
    <w:rPr>
      <w:rFonts w:ascii="Liberation Sans" w:hAnsi="Liberation Sans"/>
      <w:sz w:val="28"/>
    </w:rPr>
  </w:style>
  <w:style w:type="character" w:styleId="Heading51">
    <w:name w:val="Heading 51"/>
    <w:qFormat/>
    <w:rPr>
      <w:rFonts w:ascii="XO Thames" w:hAnsi="XO Thames"/>
      <w:b/>
      <w:sz w:val="22"/>
    </w:rPr>
  </w:style>
  <w:style w:type="character" w:styleId="Heading11">
    <w:name w:val="Heading 11"/>
    <w:qFormat/>
    <w:rPr>
      <w:rFonts w:ascii="XO Thames" w:hAnsi="XO Thames"/>
      <w:b/>
      <w:sz w:val="32"/>
    </w:rPr>
  </w:style>
  <w:style w:type="character" w:styleId="Footer1">
    <w:name w:val="Footer1"/>
    <w:basedOn w:val="Style15"/>
    <w:qFormat/>
    <w:rPr/>
  </w:style>
  <w:style w:type="character" w:styleId="Hyperlink">
    <w:name w:val="Hyperlink"/>
    <w:rPr>
      <w:color w:val="0000FF"/>
      <w:u w:val="single"/>
    </w:rPr>
  </w:style>
  <w:style w:type="character" w:styleId="Footnote">
    <w:name w:val="Footnote"/>
    <w:link w:val="Footnote1"/>
    <w:qFormat/>
    <w:rPr>
      <w:sz w:val="20"/>
    </w:rPr>
  </w:style>
  <w:style w:type="character" w:styleId="Style15">
    <w:name w:val="Колонтитул"/>
    <w:link w:val="16"/>
    <w:qFormat/>
    <w:rPr/>
  </w:style>
  <w:style w:type="character" w:styleId="Contents1">
    <w:name w:val="Contents 1"/>
    <w:qFormat/>
    <w:rPr>
      <w:rFonts w:ascii="XO Thames" w:hAnsi="XO Thames"/>
      <w:b/>
      <w:sz w:val="28"/>
    </w:rPr>
  </w:style>
  <w:style w:type="character" w:styleId="HeaderandFooter">
    <w:name w:val="Header and Footer"/>
    <w:qFormat/>
    <w:rPr>
      <w:rFonts w:ascii="XO Thames" w:hAnsi="XO Thames"/>
      <w:sz w:val="20"/>
    </w:rPr>
  </w:style>
  <w:style w:type="character" w:styleId="Caption1">
    <w:name w:val="Caption1"/>
    <w:qFormat/>
    <w:rPr>
      <w:i/>
      <w:sz w:val="24"/>
    </w:rPr>
  </w:style>
  <w:style w:type="character" w:styleId="Contents9">
    <w:name w:val="Contents 9"/>
    <w:qFormat/>
    <w:rPr>
      <w:rFonts w:ascii="XO Thames" w:hAnsi="XO Thames"/>
      <w:sz w:val="28"/>
    </w:rPr>
  </w:style>
  <w:style w:type="character" w:styleId="List1">
    <w:name w:val="List1"/>
    <w:basedOn w:val="Textbody"/>
    <w:qFormat/>
    <w:rPr/>
  </w:style>
  <w:style w:type="character" w:styleId="Contents8">
    <w:name w:val="Contents 8"/>
    <w:qFormat/>
    <w:rPr>
      <w:rFonts w:ascii="XO Thames" w:hAnsi="XO Thames"/>
      <w:sz w:val="28"/>
    </w:rPr>
  </w:style>
  <w:style w:type="character" w:styleId="FootnoteReference">
    <w:name w:val="footnote reference"/>
    <w:rPr>
      <w:vertAlign w:val="superscript"/>
    </w:rPr>
  </w:style>
  <w:style w:type="character" w:styleId="Contents5">
    <w:name w:val="Contents 5"/>
    <w:qFormat/>
    <w:rPr>
      <w:rFonts w:ascii="XO Thames" w:hAnsi="XO Thames"/>
      <w:sz w:val="28"/>
    </w:rPr>
  </w:style>
  <w:style w:type="character" w:styleId="Subtitle1">
    <w:name w:val="Subtitle1"/>
    <w:qFormat/>
    <w:rPr>
      <w:rFonts w:ascii="XO Thames" w:hAnsi="XO Thames"/>
      <w:i/>
      <w:sz w:val="24"/>
    </w:rPr>
  </w:style>
  <w:style w:type="character" w:styleId="Title1">
    <w:name w:val="Title1"/>
    <w:qFormat/>
    <w:rPr>
      <w:rFonts w:ascii="XO Thames" w:hAnsi="XO Thames"/>
      <w:b/>
      <w:caps/>
      <w:sz w:val="40"/>
    </w:rPr>
  </w:style>
  <w:style w:type="character" w:styleId="Heading41">
    <w:name w:val="Heading 41"/>
    <w:qFormat/>
    <w:rPr>
      <w:rFonts w:ascii="XO Thames" w:hAnsi="XO Thames"/>
      <w:b/>
      <w:sz w:val="24"/>
    </w:rPr>
  </w:style>
  <w:style w:type="character" w:styleId="Heading21">
    <w:name w:val="Heading 21"/>
    <w:qFormat/>
    <w:rPr>
      <w:rFonts w:ascii="XO Thames" w:hAnsi="XO Thames"/>
      <w:b/>
      <w:sz w:val="28"/>
    </w:rPr>
  </w:style>
  <w:style w:type="paragraph" w:styleId="1">
    <w:name w:val="Заголовок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pacing w:before="120" w:after="120"/>
    </w:pPr>
    <w:rPr>
      <w:i/>
      <w:sz w:val="24"/>
    </w:rPr>
  </w:style>
  <w:style w:type="paragraph" w:styleId="11">
    <w:name w:val="Указатель1"/>
    <w:basedOn w:val="Normal"/>
    <w:qFormat/>
    <w:pPr>
      <w:suppressLineNumbers/>
    </w:pPr>
    <w:rPr>
      <w:rFonts w:cs="Noto Sans Devanagari"/>
    </w:rPr>
  </w:style>
  <w:style w:type="paragraph" w:styleId="111">
    <w:name w:val="Заголовок1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112">
    <w:name w:val="Указатель11"/>
    <w:basedOn w:val="Normal"/>
    <w:qFormat/>
    <w:pPr>
      <w:suppressLineNumbers/>
    </w:pPr>
    <w:rPr>
      <w:rFonts w:cs="Lohit Devanagari"/>
    </w:rPr>
  </w:style>
  <w:style w:type="paragraph" w:styleId="1111">
    <w:name w:val="Заголовок11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1112">
    <w:name w:val="Указатель111"/>
    <w:basedOn w:val="Normal"/>
    <w:qFormat/>
    <w:pPr>
      <w:suppressLineNumbers/>
    </w:pPr>
    <w:rPr>
      <w:rFonts w:cs="Arial"/>
    </w:rPr>
  </w:style>
  <w:style w:type="paragraph" w:styleId="11111">
    <w:name w:val="Заголовок111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11112">
    <w:name w:val="Указатель1111"/>
    <w:basedOn w:val="Normal"/>
    <w:qFormat/>
    <w:pPr>
      <w:suppressLineNumbers/>
    </w:pPr>
    <w:rPr>
      <w:rFonts w:cs="Arial"/>
    </w:rPr>
  </w:style>
  <w:style w:type="paragraph" w:styleId="111111">
    <w:name w:val="Заголовок1111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111112">
    <w:name w:val="Указатель11111"/>
    <w:basedOn w:val="Normal"/>
    <w:qFormat/>
    <w:pPr>
      <w:suppressLineNumbers/>
    </w:pPr>
    <w:rPr>
      <w:rFonts w:cs="Arial"/>
    </w:rPr>
  </w:style>
  <w:style w:type="paragraph" w:styleId="1111111">
    <w:name w:val="Заголовок11111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1111112">
    <w:name w:val="Указатель111111"/>
    <w:basedOn w:val="Normal"/>
    <w:qFormat/>
    <w:pPr>
      <w:suppressLineNumbers/>
    </w:pPr>
    <w:rPr>
      <w:rFonts w:cs="Arial"/>
    </w:rPr>
  </w:style>
  <w:style w:type="paragraph" w:styleId="11111111">
    <w:name w:val="Заголовок1111111"/>
    <w:basedOn w:val="Normal"/>
    <w:next w:val="BodyText"/>
    <w:qFormat/>
    <w:pPr>
      <w:keepNext w:val="true"/>
      <w:spacing w:before="240" w:after="120"/>
    </w:pPr>
    <w:rPr>
      <w:rFonts w:ascii="Liberation Sans" w:hAnsi="Liberation Sans"/>
      <w:sz w:val="28"/>
    </w:rPr>
  </w:style>
  <w:style w:type="paragraph" w:styleId="11111112">
    <w:name w:val="Указатель1111111"/>
    <w:basedOn w:val="Normal"/>
    <w:qFormat/>
    <w:pPr/>
    <w:rPr/>
  </w:style>
  <w:style w:type="paragraph" w:styleId="TOC2">
    <w:name w:val="toc 2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2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TOC4">
    <w:name w:val="toc 4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6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0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2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Endnote1">
    <w:name w:val="Endnote1"/>
    <w:link w:val="Endnote"/>
    <w:qFormat/>
    <w:pPr>
      <w:widowControl/>
      <w:suppressAutoHyphens w:val="true"/>
      <w:bidi w:val="0"/>
      <w:spacing w:lineRule="auto" w:line="240" w:before="0" w:after="0"/>
      <w:ind w:firstLine="851" w:left="0" w:right="0"/>
      <w:jc w:val="both"/>
    </w:pPr>
    <w:rPr>
      <w:rFonts w:ascii="XO Thames" w:hAnsi="XO Thames" w:eastAsia="NSimSun" w:cs="Arial"/>
      <w:color w:val="000000"/>
      <w:spacing w:val="0"/>
      <w:kern w:val="0"/>
      <w:sz w:val="22"/>
      <w:szCs w:val="20"/>
      <w:lang w:val="ru-RU" w:eastAsia="zh-CN" w:bidi="hi-IN"/>
    </w:rPr>
  </w:style>
  <w:style w:type="paragraph" w:styleId="12">
    <w:name w:val="Содержимое таблицы1"/>
    <w:basedOn w:val="Normal"/>
    <w:qFormat/>
    <w:pPr>
      <w:widowControl w:val="false"/>
    </w:pPr>
    <w:rPr/>
  </w:style>
  <w:style w:type="paragraph" w:styleId="13">
    <w:name w:val="Символ сноски1"/>
    <w:link w:val="Style10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4"/>
      <w:szCs w:val="20"/>
      <w:lang w:val="ru-RU" w:eastAsia="zh-CN" w:bidi="hi-IN"/>
    </w:rPr>
  </w:style>
  <w:style w:type="paragraph" w:styleId="14">
    <w:name w:val="Заголовок таблицы1"/>
    <w:basedOn w:val="12"/>
    <w:qFormat/>
    <w:pPr>
      <w:jc w:val="center"/>
    </w:pPr>
    <w:rPr>
      <w:b/>
    </w:rPr>
  </w:style>
  <w:style w:type="paragraph" w:styleId="TOC3">
    <w:name w:val="toc 3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4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15">
    <w:name w:val="Символ нумерации1"/>
    <w:link w:val="Style12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4"/>
      <w:szCs w:val="20"/>
      <w:lang w:val="ru-RU" w:eastAsia="zh-CN" w:bidi="hi-IN"/>
    </w:rPr>
  </w:style>
  <w:style w:type="paragraph" w:styleId="16">
    <w:name w:val="Колонтитул1"/>
    <w:link w:val="Style15"/>
    <w:qFormat/>
    <w:pPr>
      <w:widowControl/>
      <w:suppressAutoHyphens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2">
    <w:name w:val="Колонтитул2"/>
    <w:basedOn w:val="Normal"/>
    <w:qFormat/>
    <w:pPr/>
    <w:rPr/>
  </w:style>
  <w:style w:type="paragraph" w:styleId="3">
    <w:name w:val="Колонтитул3"/>
    <w:basedOn w:val="Normal"/>
    <w:qFormat/>
    <w:pPr/>
    <w:rPr/>
  </w:style>
  <w:style w:type="paragraph" w:styleId="4">
    <w:name w:val="Колонтитул4"/>
    <w:basedOn w:val="Normal"/>
    <w:qFormat/>
    <w:pPr/>
    <w:rPr/>
  </w:style>
  <w:style w:type="paragraph" w:styleId="5">
    <w:name w:val="Колонтитул5"/>
    <w:basedOn w:val="Normal"/>
    <w:qFormat/>
    <w:pPr/>
    <w:rPr/>
  </w:style>
  <w:style w:type="paragraph" w:styleId="6">
    <w:name w:val="Колонтитул6"/>
    <w:basedOn w:val="Normal"/>
    <w:qFormat/>
    <w:pPr/>
    <w:rPr/>
  </w:style>
  <w:style w:type="paragraph" w:styleId="HeaderandFooter1">
    <w:name w:val="Header and Footer1"/>
    <w:basedOn w:val="Normal"/>
    <w:qFormat/>
    <w:pPr/>
    <w:rPr/>
  </w:style>
  <w:style w:type="paragraph" w:styleId="Footer">
    <w:name w:val="footer"/>
    <w:basedOn w:val="16"/>
    <w:pPr/>
    <w:rPr/>
  </w:style>
  <w:style w:type="paragraph" w:styleId="Internetlink">
    <w:name w:val="Internet link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FF"/>
      <w:spacing w:val="0"/>
      <w:kern w:val="0"/>
      <w:sz w:val="24"/>
      <w:szCs w:val="20"/>
      <w:u w:val="single"/>
      <w:lang w:val="ru-RU" w:eastAsia="zh-CN" w:bidi="hi-IN"/>
    </w:rPr>
  </w:style>
  <w:style w:type="paragraph" w:styleId="Footnote1">
    <w:name w:val="Footnote1"/>
    <w:basedOn w:val="Normal"/>
    <w:link w:val="Footnote"/>
    <w:qFormat/>
    <w:pPr>
      <w:ind w:hanging="340" w:left="340" w:right="0"/>
    </w:pPr>
    <w:rPr>
      <w:sz w:val="20"/>
    </w:rPr>
  </w:style>
  <w:style w:type="paragraph" w:styleId="TOC1">
    <w:name w:val="toc 1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XO Thames" w:hAnsi="XO Thames" w:eastAsia="NSimSun" w:cs="Arial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TOC9">
    <w:name w:val="toc 9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6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TOC8">
    <w:name w:val="toc 8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14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FootnoteSymbol">
    <w:name w:val="Footnote Symbol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4"/>
      <w:szCs w:val="20"/>
      <w:vertAlign w:val="superscript"/>
      <w:lang w:val="ru-RU" w:eastAsia="zh-CN" w:bidi="hi-IN"/>
    </w:rPr>
  </w:style>
  <w:style w:type="paragraph" w:styleId="TOC5">
    <w:name w:val="toc 5"/>
    <w:next w:val="Normal"/>
    <w:uiPriority w:val="39"/>
    <w:pPr>
      <w:widowControl/>
      <w:suppressAutoHyphens w:val="true"/>
      <w:bidi w:val="0"/>
      <w:spacing w:lineRule="auto" w:line="240" w:before="0" w:after="0"/>
      <w:ind w:hanging="0" w:left="800" w:right="0"/>
      <w:jc w:val="left"/>
    </w:pPr>
    <w:rPr>
      <w:rFonts w:ascii="XO Thames" w:hAnsi="XO Thames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Subtitle">
    <w:name w:val="Subtitle"/>
    <w:next w:val="Normal"/>
    <w:uiPriority w:val="11"/>
    <w:qFormat/>
    <w:pPr>
      <w:widowControl/>
      <w:suppressAutoHyphens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NSimSun" w:cs="Arial"/>
      <w:i/>
      <w:color w:val="000000"/>
      <w:spacing w:val="0"/>
      <w:kern w:val="0"/>
      <w:sz w:val="24"/>
      <w:szCs w:val="20"/>
      <w:lang w:val="ru-RU" w:eastAsia="zh-CN" w:bidi="hi-IN"/>
    </w:rPr>
  </w:style>
  <w:style w:type="paragraph" w:styleId="Title">
    <w:name w:val="Title"/>
    <w:next w:val="Normal"/>
    <w:uiPriority w:val="10"/>
    <w:qFormat/>
    <w:pPr>
      <w:widowControl/>
      <w:suppressAutoHyphens w:val="true"/>
      <w:bidi w:val="0"/>
      <w:spacing w:lineRule="auto" w:line="240" w:before="567" w:after="567"/>
      <w:ind w:hanging="0" w:left="0" w:right="0"/>
      <w:jc w:val="center"/>
    </w:pPr>
    <w:rPr>
      <w:rFonts w:ascii="XO Thames" w:hAnsi="XO Thames" w:eastAsia="NSimSun" w:cs="Arial"/>
      <w:b/>
      <w:caps/>
      <w:color w:val="000000"/>
      <w:spacing w:val="0"/>
      <w:kern w:val="0"/>
      <w:sz w:val="40"/>
      <w:szCs w:val="20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comments" Target="comments.xml"/><Relationship Id="rId6" Type="http://schemas.microsoft.com/office/2011/relationships/commentsExtended" Target="commentsExtended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"/>
        <a:cs typeface=""/>
      </a:majorFont>
      <a:minorFont>
        <a:latin typeface="Arial" pitchFamily="0" charset="1"/>
        <a:ea typeface=""/>
        <a:cs typeface="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prstDash val="solid"/>
        </a:ln>
        <a:ln w="6350">
          <a:prstDash val="solid"/>
        </a:ln>
        <a:ln w="63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Application>LibreOffice/24.8.7.2$Linux_X86_64 LibreOffice_project/480$Build-2</Application>
  <AppVersion>15.0000</AppVersion>
  <Pages>4</Pages>
  <Words>1780</Words>
  <Characters>12392</Characters>
  <CharactersWithSpaces>14172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2025-12-22T18:06:17Z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