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5D6A7" w:sz="1"/>
              <w:left w:val="single" w:color="A5D6A7" w:sz="1"/>
              <w:bottom w:val="single" w:color="A5D6A7" w:sz="1"/>
              <w:right w:val="single" w:color="A5D6A7" w:sz="1"/>
            </w:tcBorders>
            <w:shd w:fill="1B5E20" w:val="clear"/>
            <w:tcMar>
              <w:top w:type="dxa" w:w="360"/>
              <w:left w:type="dxa" w:w="560"/>
              <w:bottom w:type="dxa" w:w="360"/>
              <w:right w:type="dxa" w:w="560"/>
            </w:tcMar>
          </w:tcPr>
          <w:p>
            <w:pPr>
              <w:jc w:val="center"/>
            </w:pPr>
            <w:r>
              <w:rPr>
                <w:rFonts w:ascii="Arial" w:cs="Arial" w:eastAsia="Arial" w:hAnsi="Arial"/>
                <w:b/>
                <w:bCs/>
                <w:color w:val="A5D6A7"/>
                <w:sz w:val="48"/>
                <w:szCs w:val="48"/>
              </w:rPr>
              <w:t xml:space="preserve">Natureza</w:t>
            </w:r>
          </w:p>
          <w:p>
            <w:pPr>
              <w:spacing w:after="100" w:before="60"/>
              <w:jc w:val="center"/>
            </w:pPr>
            <w:r>
              <w:rPr>
                <w:rFonts w:ascii="Arial" w:cs="Arial" w:eastAsia="Arial" w:hAnsi="Arial"/>
                <w:b/>
                <w:bCs/>
                <w:color w:val="FFFFFF"/>
                <w:sz w:val="32"/>
                <w:szCs w:val="32"/>
              </w:rPr>
              <w:t xml:space="preserve">Política de Privacidad</w:t>
            </w:r>
          </w:p>
          <w:p>
            <w:pPr>
              <w:jc w:val="center"/>
            </w:pPr>
            <w:r>
              <w:rPr>
                <w:rFonts w:ascii="Arial" w:cs="Arial" w:eastAsia="Arial" w:hAnsi="Arial"/>
                <w:i/>
                <w:iCs/>
                <w:color w:val="C8E6C9"/>
                <w:sz w:val="18"/>
                <w:szCs w:val="18"/>
              </w:rPr>
              <w:t xml:space="preserve">Protección de Datos Personales · LFPDPPP · Aviso de Privacidad</w:t>
            </w:r>
          </w:p>
          <w:p>
            <w:pPr>
              <w:spacing w:before="80"/>
              <w:jc w:val="center"/>
            </w:pPr>
            <w:r>
              <w:rPr>
                <w:rFonts w:ascii="Arial" w:cs="Arial" w:eastAsia="Arial" w:hAnsi="Arial"/>
                <w:color w:val="A5D6A7"/>
                <w:sz w:val="18"/>
                <w:szCs w:val="18"/>
              </w:rPr>
              <w:t xml:space="preserve">Última actualización: junio de 2025</w:t>
            </w:r>
          </w:p>
        </w:tc>
      </w:tr>
    </w:tbl>
    <w:p>
      <w:pPr>
        <w:spacing w:after="50" w:before="50"/>
      </w:pPr>
      <w:r>
        <w:rPr>
          <w:sz w:val="18"/>
          <w:szCs w:val="18"/>
        </w:rPr>
        <w:t xml:space="preserve"/>
      </w:r>
    </w:p>
    <w:p>
      <w:pPr>
        <w:spacing w:after="50" w:before="5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E6C9" w:sz="1"/>
              <w:left w:val="single" w:color="C8E6C9" w:sz="1"/>
              <w:bottom w:val="single" w:color="C8E6C9" w:sz="1"/>
              <w:right w:val="single" w:color="C8E6C9" w:sz="1"/>
            </w:tcBorders>
            <w:shd w:fill="F1F8E9" w:val="clear"/>
            <w:tcMar>
              <w:top w:type="dxa" w:w="220"/>
              <w:left w:type="dxa" w:w="440"/>
              <w:bottom w:type="dxa" w:w="220"/>
              <w:right w:type="dxa" w:w="440"/>
            </w:tcMar>
          </w:tcPr>
          <w:p>
            <w:pPr>
              <w:spacing w:after="60" w:before="60"/>
            </w:pPr>
            <w:r>
              <w:rPr>
                <w:rFonts w:ascii="Arial" w:cs="Arial" w:eastAsia="Arial" w:hAnsi="Arial"/>
                <w:b/>
                <w:bCs/>
                <w:color w:val="1B5E20"/>
                <w:sz w:val="19"/>
                <w:szCs w:val="19"/>
              </w:rPr>
              <w:t xml:space="preserve">Responsable del tratamiento: </w:t>
            </w:r>
            <w:r>
              <w:rPr>
                <w:rFonts w:ascii="Arial" w:cs="Arial" w:eastAsia="Arial" w:hAnsi="Arial"/>
                <w:color w:val="212121"/>
                <w:sz w:val="19"/>
                <w:szCs w:val="19"/>
              </w:rPr>
              <w:t xml:space="preserve">Natureza</w:t>
            </w:r>
          </w:p>
          <w:p>
            <w:pPr>
              <w:spacing w:after="60" w:before="60"/>
            </w:pPr>
            <w:r>
              <w:rPr>
                <w:rFonts w:ascii="Arial" w:cs="Arial" w:eastAsia="Arial" w:hAnsi="Arial"/>
                <w:b/>
                <w:bCs/>
                <w:color w:val="1B5E20"/>
                <w:sz w:val="19"/>
                <w:szCs w:val="19"/>
              </w:rPr>
              <w:t xml:space="preserve">Operado por: </w:t>
            </w:r>
            <w:r>
              <w:rPr>
                <w:rFonts w:ascii="Arial" w:cs="Arial" w:eastAsia="Arial" w:hAnsi="Arial"/>
                <w:color w:val="212121"/>
                <w:sz w:val="19"/>
                <w:szCs w:val="19"/>
              </w:rPr>
              <w:t xml:space="preserve">Ariadna Lizette Castro Díaz · Aldo Emiliano González Vega · Miguel Ángel Servín Razo</w:t>
            </w:r>
          </w:p>
          <w:p>
            <w:pPr>
              <w:spacing w:after="60" w:before="60"/>
            </w:pPr>
            <w:r>
              <w:rPr>
                <w:rFonts w:ascii="Arial" w:cs="Arial" w:eastAsia="Arial" w:hAnsi="Arial"/>
                <w:b/>
                <w:bCs/>
                <w:color w:val="1B5E20"/>
                <w:sz w:val="19"/>
                <w:szCs w:val="19"/>
              </w:rPr>
              <w:t xml:space="preserve">Domicilio: </w:t>
            </w:r>
            <w:r>
              <w:rPr>
                <w:rFonts w:ascii="Arial" w:cs="Arial" w:eastAsia="Arial" w:hAnsi="Arial"/>
                <w:color w:val="212121"/>
                <w:sz w:val="19"/>
                <w:szCs w:val="19"/>
              </w:rPr>
              <w:t xml:space="preserve">São Paulo 1912, Providencia, 44630, Guadalajara, Jalisco, México</w:t>
            </w:r>
          </w:p>
          <w:p>
            <w:pPr>
              <w:spacing w:after="60" w:before="60"/>
            </w:pPr>
            <w:r>
              <w:rPr>
                <w:rFonts w:ascii="Arial" w:cs="Arial" w:eastAsia="Arial" w:hAnsi="Arial"/>
                <w:b/>
                <w:bCs/>
                <w:color w:val="1B5E20"/>
                <w:sz w:val="19"/>
                <w:szCs w:val="19"/>
              </w:rPr>
              <w:t xml:space="preserve">Correo: </w:t>
            </w:r>
            <w:r>
              <w:rPr>
                <w:rFonts w:ascii="Arial" w:cs="Arial" w:eastAsia="Arial" w:hAnsi="Arial"/>
                <w:color w:val="212121"/>
                <w:sz w:val="19"/>
                <w:szCs w:val="19"/>
              </w:rPr>
              <w:t xml:space="preserve">privacidad@natureza.mx</w:t>
            </w:r>
          </w:p>
          <w:p>
            <w:pPr>
              <w:spacing w:after="60" w:before="60"/>
            </w:pPr>
            <w:r>
              <w:rPr>
                <w:rFonts w:ascii="Arial" w:cs="Arial" w:eastAsia="Arial" w:hAnsi="Arial"/>
                <w:b/>
                <w:bCs/>
                <w:color w:val="1B5E20"/>
                <w:sz w:val="19"/>
                <w:szCs w:val="19"/>
              </w:rPr>
              <w:t xml:space="preserve">Teléfono: </w:t>
            </w:r>
            <w:r>
              <w:rPr>
                <w:rFonts w:ascii="Arial" w:cs="Arial" w:eastAsia="Arial" w:hAnsi="Arial"/>
                <w:color w:val="212121"/>
                <w:sz w:val="19"/>
                <w:szCs w:val="19"/>
              </w:rPr>
              <w:t xml:space="preserve">33 3300 0000</w:t>
            </w:r>
          </w:p>
          <w:p>
            <w:pPr>
              <w:spacing w:after="60" w:before="60"/>
            </w:pPr>
            <w:r>
              <w:rPr>
                <w:rFonts w:ascii="Arial" w:cs="Arial" w:eastAsia="Arial" w:hAnsi="Arial"/>
                <w:b/>
                <w:bCs/>
                <w:color w:val="1B5E20"/>
                <w:sz w:val="19"/>
                <w:szCs w:val="19"/>
              </w:rPr>
              <w:t xml:space="preserve">Marco legal: </w:t>
            </w:r>
            <w:r>
              <w:rPr>
                <w:rFonts w:ascii="Arial" w:cs="Arial" w:eastAsia="Arial" w:hAnsi="Arial"/>
                <w:color w:val="212121"/>
                <w:sz w:val="19"/>
                <w:szCs w:val="19"/>
              </w:rPr>
              <w:t xml:space="preserve">LFPDPPP, Código Fiscal de la Federación, NOM-151-SCFI-2016</w:t>
            </w:r>
          </w:p>
        </w:tc>
      </w:tr>
    </w:tbl>
    <w:p>
      <w:pPr>
        <w:spacing w:after="50" w:before="50"/>
      </w:pPr>
      <w:r>
        <w:rPr>
          <w:sz w:val="18"/>
          <w:szCs w:val="18"/>
        </w:rPr>
        <w:t xml:space="preserve"/>
      </w:r>
    </w:p>
    <w:p>
      <w:pPr>
        <w:spacing w:after="50" w:before="50"/>
      </w:pPr>
      <w:r>
        <w:rPr>
          <w:sz w:val="18"/>
          <w:szCs w:val="18"/>
        </w:rPr>
        <w:t xml:space="preserve"/>
      </w:r>
    </w:p>
    <w:p>
      <w:pPr>
        <w:spacing w:after="80" w:before="80"/>
        <w:jc w:val="both"/>
      </w:pPr>
      <w:r>
        <w:rPr>
          <w:rFonts w:ascii="Arial" w:cs="Arial" w:eastAsia="Arial" w:hAnsi="Arial"/>
          <w:color w:val="212121"/>
          <w:sz w:val="20"/>
          <w:szCs w:val="20"/>
        </w:rPr>
        <w:t xml:space="preserve">El presente documento constituye el Aviso de Privacidad e integra la Política de Privacidad de Natureza, conforme a lo establecido en la Ley Federal de Protección de Datos Personales en Posesión de los Particulares (LFPDPPP) y su Reglamento. Su objetivo es informar a los usuarios, clientes y visitantes sobre la forma en que se recaban, utilizan, resguardan y, en su caso, se transfieren sus datos personales.</w:t>
      </w:r>
    </w:p>
    <w:p>
      <w:pPr>
        <w:spacing w:after="50" w:before="50"/>
      </w:pPr>
      <w:r>
        <w:rPr>
          <w:sz w:val="18"/>
          <w:szCs w:val="18"/>
        </w:rPr>
        <w:t xml:space="preserve"/>
      </w:r>
    </w:p>
    <w:p>
      <w:pPr>
        <w:spacing w:after="100" w:before="300"/>
      </w:pPr>
      <w:r>
        <w:rPr>
          <w:rFonts w:ascii="Arial" w:cs="Arial" w:eastAsia="Arial" w:hAnsi="Arial"/>
          <w:b/>
          <w:bCs/>
          <w:color w:val="1B5E20"/>
          <w:sz w:val="22"/>
          <w:szCs w:val="22"/>
        </w:rPr>
        <w:t xml:space="preserve">Artículo 1. </w:t>
      </w:r>
      <w:r>
        <w:rPr>
          <w:rFonts w:ascii="Arial" w:cs="Arial" w:eastAsia="Arial" w:hAnsi="Arial"/>
          <w:b/>
          <w:bCs/>
          <w:color w:val="212121"/>
          <w:sz w:val="22"/>
          <w:szCs w:val="22"/>
        </w:rPr>
        <w:t xml:space="preserve">Identidad y domicilio del Responsable</w:t>
      </w:r>
    </w:p>
    <w:p>
      <w:pPr>
        <w:spacing w:after="80" w:before="80"/>
        <w:jc w:val="both"/>
      </w:pPr>
      <w:r>
        <w:rPr>
          <w:rFonts w:ascii="Arial" w:cs="Arial" w:eastAsia="Arial" w:hAnsi="Arial"/>
          <w:color w:val="212121"/>
          <w:sz w:val="20"/>
          <w:szCs w:val="20"/>
        </w:rPr>
        <w:t xml:space="preserve">Los responsables del tratamiento de los datos personales son Ariadna Lizette Castro Díaz, Aldo Emiliano González Vega y Miguel Ángel Servín Razo, quienes operan comercialmente bajo la denominación Natureza, con domicilio en São Paulo 1912, Providencia, 44630, Guadalajara, Jalisco, México. Para ejercer sus derechos ARCO o presentar cualquier consulta relacionada con el tratamiento de sus datos, puede contactarnos a través de privacidad@natureza.mx o al teléfono 33 3300 0000.</w:t>
      </w:r>
    </w:p>
    <w:p>
      <w:pPr>
        <w:spacing w:after="100" w:before="300"/>
      </w:pPr>
      <w:r>
        <w:rPr>
          <w:rFonts w:ascii="Arial" w:cs="Arial" w:eastAsia="Arial" w:hAnsi="Arial"/>
          <w:b/>
          <w:bCs/>
          <w:color w:val="1B5E20"/>
          <w:sz w:val="22"/>
          <w:szCs w:val="22"/>
        </w:rPr>
        <w:t xml:space="preserve">Artículo 2. </w:t>
      </w:r>
      <w:r>
        <w:rPr>
          <w:rFonts w:ascii="Arial" w:cs="Arial" w:eastAsia="Arial" w:hAnsi="Arial"/>
          <w:b/>
          <w:bCs/>
          <w:color w:val="212121"/>
          <w:sz w:val="22"/>
          <w:szCs w:val="22"/>
        </w:rPr>
        <w:t xml:space="preserve">Datos personales que se recaban</w:t>
      </w:r>
    </w:p>
    <w:p>
      <w:pPr>
        <w:pStyle w:val="Heading3"/>
        <w:spacing w:after="80" w:before="200"/>
      </w:pPr>
      <w:r>
        <w:rPr>
          <w:rFonts w:ascii="Arial" w:cs="Arial" w:eastAsia="Arial" w:hAnsi="Arial"/>
          <w:b/>
          <w:bCs/>
          <w:color w:val="212121"/>
          <w:sz w:val="22"/>
          <w:szCs w:val="22"/>
        </w:rPr>
        <w:t xml:space="preserve">2.1 Datos de identificación y acceso</w:t>
      </w:r>
    </w:p>
    <w:p>
      <w:pPr>
        <w:pStyle w:val="ListParagraph"/>
        <w:numPr>
          <w:ilvl w:val="0"/>
          <w:numId w:val="2"/>
        </w:numPr>
        <w:spacing w:after="60" w:before="60"/>
        <w:jc w:val="both"/>
      </w:pPr>
      <w:r>
        <w:rPr>
          <w:rFonts w:ascii="Arial" w:cs="Arial" w:eastAsia="Arial" w:hAnsi="Arial"/>
          <w:color w:val="212121"/>
          <w:sz w:val="20"/>
          <w:szCs w:val="20"/>
        </w:rPr>
        <w:t xml:space="preserve">Nombre completo.</w:t>
      </w:r>
    </w:p>
    <w:p>
      <w:pPr>
        <w:pStyle w:val="ListParagraph"/>
        <w:numPr>
          <w:ilvl w:val="0"/>
          <w:numId w:val="2"/>
        </w:numPr>
        <w:spacing w:after="60" w:before="60"/>
        <w:jc w:val="both"/>
      </w:pPr>
      <w:r>
        <w:rPr>
          <w:rFonts w:ascii="Arial" w:cs="Arial" w:eastAsia="Arial" w:hAnsi="Arial"/>
          <w:color w:val="212121"/>
          <w:sz w:val="20"/>
          <w:szCs w:val="20"/>
        </w:rPr>
        <w:t xml:space="preserve">Correo electrónico (identificador único de cuenta).</w:t>
      </w:r>
    </w:p>
    <w:p>
      <w:pPr>
        <w:pStyle w:val="ListParagraph"/>
        <w:numPr>
          <w:ilvl w:val="0"/>
          <w:numId w:val="2"/>
        </w:numPr>
        <w:spacing w:after="60" w:before="60"/>
        <w:jc w:val="both"/>
      </w:pPr>
      <w:r>
        <w:rPr>
          <w:rFonts w:ascii="Arial" w:cs="Arial" w:eastAsia="Arial" w:hAnsi="Arial"/>
          <w:color w:val="212121"/>
          <w:sz w:val="20"/>
          <w:szCs w:val="20"/>
        </w:rPr>
        <w:t xml:space="preserve">Contraseña (almacenada en formato hash bcrypt; nunca en texto plano).</w:t>
      </w:r>
    </w:p>
    <w:p>
      <w:pPr>
        <w:pStyle w:val="Heading3"/>
        <w:spacing w:after="80" w:before="200"/>
      </w:pPr>
      <w:r>
        <w:rPr>
          <w:rFonts w:ascii="Arial" w:cs="Arial" w:eastAsia="Arial" w:hAnsi="Arial"/>
          <w:b/>
          <w:bCs/>
          <w:color w:val="212121"/>
          <w:sz w:val="22"/>
          <w:szCs w:val="22"/>
        </w:rPr>
        <w:t xml:space="preserve">2.2 Datos de envío</w:t>
      </w:r>
    </w:p>
    <w:p>
      <w:pPr>
        <w:pStyle w:val="ListParagraph"/>
        <w:numPr>
          <w:ilvl w:val="0"/>
          <w:numId w:val="2"/>
        </w:numPr>
        <w:spacing w:after="60" w:before="60"/>
        <w:jc w:val="both"/>
      </w:pPr>
      <w:r>
        <w:rPr>
          <w:rFonts w:ascii="Arial" w:cs="Arial" w:eastAsia="Arial" w:hAnsi="Arial"/>
          <w:color w:val="212121"/>
          <w:sz w:val="20"/>
          <w:szCs w:val="20"/>
        </w:rPr>
        <w:t xml:space="preserve">Nombre del destinatario.</w:t>
      </w:r>
    </w:p>
    <w:p>
      <w:pPr>
        <w:pStyle w:val="ListParagraph"/>
        <w:numPr>
          <w:ilvl w:val="0"/>
          <w:numId w:val="2"/>
        </w:numPr>
        <w:spacing w:after="60" w:before="60"/>
        <w:jc w:val="both"/>
      </w:pPr>
      <w:r>
        <w:rPr>
          <w:rFonts w:ascii="Arial" w:cs="Arial" w:eastAsia="Arial" w:hAnsi="Arial"/>
          <w:color w:val="212121"/>
          <w:sz w:val="20"/>
          <w:szCs w:val="20"/>
        </w:rPr>
        <w:t xml:space="preserve">Domicilio completo (calle, ciudad, código postal).</w:t>
      </w:r>
    </w:p>
    <w:p>
      <w:pPr>
        <w:pStyle w:val="ListParagraph"/>
        <w:numPr>
          <w:ilvl w:val="0"/>
          <w:numId w:val="2"/>
        </w:numPr>
        <w:spacing w:after="60" w:before="60"/>
        <w:jc w:val="both"/>
      </w:pPr>
      <w:r>
        <w:rPr>
          <w:rFonts w:ascii="Arial" w:cs="Arial" w:eastAsia="Arial" w:hAnsi="Arial"/>
          <w:color w:val="212121"/>
          <w:sz w:val="20"/>
          <w:szCs w:val="20"/>
        </w:rPr>
        <w:t xml:space="preserve">Teléfono de contacto.</w:t>
      </w:r>
    </w:p>
    <w:p>
      <w:pPr>
        <w:pStyle w:val="Heading3"/>
        <w:spacing w:after="80" w:before="200"/>
      </w:pPr>
      <w:r>
        <w:rPr>
          <w:rFonts w:ascii="Arial" w:cs="Arial" w:eastAsia="Arial" w:hAnsi="Arial"/>
          <w:b/>
          <w:bCs/>
          <w:color w:val="212121"/>
          <w:sz w:val="22"/>
          <w:szCs w:val="22"/>
        </w:rPr>
        <w:t xml:space="preserve">2.3 Datos de facturación (opcionales, cuando el Cliente solicita CFDI)</w:t>
      </w:r>
    </w:p>
    <w:p>
      <w:pPr>
        <w:pStyle w:val="ListParagraph"/>
        <w:numPr>
          <w:ilvl w:val="0"/>
          <w:numId w:val="2"/>
        </w:numPr>
        <w:spacing w:after="60" w:before="60"/>
        <w:jc w:val="both"/>
      </w:pPr>
      <w:r>
        <w:rPr>
          <w:rFonts w:ascii="Arial" w:cs="Arial" w:eastAsia="Arial" w:hAnsi="Arial"/>
          <w:color w:val="212121"/>
          <w:sz w:val="20"/>
          <w:szCs w:val="20"/>
        </w:rPr>
        <w:t xml:space="preserve">RFC (Registro Federal de Contribuyentes).</w:t>
      </w:r>
    </w:p>
    <w:p>
      <w:pPr>
        <w:pStyle w:val="ListParagraph"/>
        <w:numPr>
          <w:ilvl w:val="0"/>
          <w:numId w:val="2"/>
        </w:numPr>
        <w:spacing w:after="60" w:before="60"/>
        <w:jc w:val="both"/>
      </w:pPr>
      <w:r>
        <w:rPr>
          <w:rFonts w:ascii="Arial" w:cs="Arial" w:eastAsia="Arial" w:hAnsi="Arial"/>
          <w:color w:val="212121"/>
          <w:sz w:val="20"/>
          <w:szCs w:val="20"/>
        </w:rPr>
        <w:t xml:space="preserve">Razón social o nombre fiscal.</w:t>
      </w:r>
    </w:p>
    <w:p>
      <w:pPr>
        <w:pStyle w:val="ListParagraph"/>
        <w:numPr>
          <w:ilvl w:val="0"/>
          <w:numId w:val="2"/>
        </w:numPr>
        <w:spacing w:after="60" w:before="60"/>
        <w:jc w:val="both"/>
      </w:pPr>
      <w:r>
        <w:rPr>
          <w:rFonts w:ascii="Arial" w:cs="Arial" w:eastAsia="Arial" w:hAnsi="Arial"/>
          <w:color w:val="212121"/>
          <w:sz w:val="20"/>
          <w:szCs w:val="20"/>
        </w:rPr>
        <w:t xml:space="preserve">Régimen fiscal y uso de CFDI.</w:t>
      </w:r>
    </w:p>
    <w:p>
      <w:pPr>
        <w:pStyle w:val="ListParagraph"/>
        <w:numPr>
          <w:ilvl w:val="0"/>
          <w:numId w:val="2"/>
        </w:numPr>
        <w:spacing w:after="60" w:before="60"/>
        <w:jc w:val="both"/>
      </w:pPr>
      <w:r>
        <w:rPr>
          <w:rFonts w:ascii="Arial" w:cs="Arial" w:eastAsia="Arial" w:hAnsi="Arial"/>
          <w:color w:val="212121"/>
          <w:sz w:val="20"/>
          <w:szCs w:val="20"/>
        </w:rPr>
        <w:t xml:space="preserve">Código postal fiscal.</w:t>
      </w:r>
    </w:p>
    <w:p>
      <w:pPr>
        <w:pStyle w:val="Heading3"/>
        <w:spacing w:after="80" w:before="200"/>
      </w:pPr>
      <w:r>
        <w:rPr>
          <w:rFonts w:ascii="Arial" w:cs="Arial" w:eastAsia="Arial" w:hAnsi="Arial"/>
          <w:b/>
          <w:bCs/>
          <w:color w:val="212121"/>
          <w:sz w:val="22"/>
          <w:szCs w:val="22"/>
        </w:rPr>
        <w:t xml:space="preserve">2.4 Datos de transacciones y operaciones</w:t>
      </w:r>
    </w:p>
    <w:p>
      <w:pPr>
        <w:pStyle w:val="ListParagraph"/>
        <w:numPr>
          <w:ilvl w:val="0"/>
          <w:numId w:val="2"/>
        </w:numPr>
        <w:spacing w:after="60" w:before="60"/>
        <w:jc w:val="both"/>
      </w:pPr>
      <w:r>
        <w:rPr>
          <w:rFonts w:ascii="Arial" w:cs="Arial" w:eastAsia="Arial" w:hAnsi="Arial"/>
          <w:color w:val="212121"/>
          <w:sz w:val="20"/>
          <w:szCs w:val="20"/>
        </w:rPr>
        <w:t xml:space="preserve">Historial de pedidos, productos adquiridos, cantidades y montos.</w:t>
      </w:r>
    </w:p>
    <w:p>
      <w:pPr>
        <w:pStyle w:val="ListParagraph"/>
        <w:numPr>
          <w:ilvl w:val="0"/>
          <w:numId w:val="2"/>
        </w:numPr>
        <w:spacing w:after="60" w:before="60"/>
        <w:jc w:val="both"/>
      </w:pPr>
      <w:r>
        <w:rPr>
          <w:rFonts w:ascii="Arial" w:cs="Arial" w:eastAsia="Arial" w:hAnsi="Arial"/>
          <w:color w:val="212121"/>
          <w:sz w:val="20"/>
          <w:szCs w:val="20"/>
        </w:rPr>
        <w:t xml:space="preserve">Método de pago utilizado (PayPal o tarjeta simulada) e identificador de referencia de transacción.</w:t>
      </w:r>
    </w:p>
    <w:p>
      <w:pPr>
        <w:pStyle w:val="ListParagraph"/>
        <w:numPr>
          <w:ilvl w:val="0"/>
          <w:numId w:val="2"/>
        </w:numPr>
        <w:spacing w:after="60" w:before="60"/>
        <w:jc w:val="both"/>
      </w:pPr>
      <w:r>
        <w:rPr>
          <w:rFonts w:ascii="Arial" w:cs="Arial" w:eastAsia="Arial" w:hAnsi="Arial"/>
          <w:color w:val="212121"/>
          <w:sz w:val="20"/>
          <w:szCs w:val="20"/>
        </w:rPr>
        <w:t xml:space="preserve">Estado del pedido, número de rastreo y modalidad de envío seleccionada.</w:t>
      </w:r>
    </w:p>
    <w:p>
      <w:pPr>
        <w:spacing w:after="80" w:before="80"/>
        <w:jc w:val="both"/>
      </w:pPr>
      <w:r>
        <w:rPr>
          <w:rFonts w:ascii="Arial" w:cs="Arial" w:eastAsia="Arial" w:hAnsi="Arial"/>
          <w:color w:val="212121"/>
          <w:sz w:val="20"/>
          <w:szCs w:val="20"/>
        </w:rPr>
        <w:t xml:space="preserve">Natureza no almacena números de tarjeta bancaria, CVV ni datos bancarios sensibles. El procesamiento de pagos se realiza directamente a través de los servidores seguros de PayPal.</w:t>
      </w:r>
    </w:p>
    <w:p>
      <w:pPr>
        <w:pStyle w:val="Heading3"/>
        <w:spacing w:after="80" w:before="200"/>
      </w:pPr>
      <w:r>
        <w:rPr>
          <w:rFonts w:ascii="Arial" w:cs="Arial" w:eastAsia="Arial" w:hAnsi="Arial"/>
          <w:b/>
          <w:bCs/>
          <w:color w:val="212121"/>
          <w:sz w:val="22"/>
          <w:szCs w:val="22"/>
        </w:rPr>
        <w:t xml:space="preserve">2.5 Datos de autenticación y seguridad</w:t>
      </w:r>
    </w:p>
    <w:p>
      <w:pPr>
        <w:pStyle w:val="ListParagraph"/>
        <w:numPr>
          <w:ilvl w:val="0"/>
          <w:numId w:val="2"/>
        </w:numPr>
        <w:spacing w:after="60" w:before="60"/>
        <w:jc w:val="both"/>
      </w:pPr>
      <w:r>
        <w:rPr>
          <w:rFonts w:ascii="Arial" w:cs="Arial" w:eastAsia="Arial" w:hAnsi="Arial"/>
          <w:color w:val="212121"/>
          <w:sz w:val="20"/>
          <w:szCs w:val="20"/>
        </w:rPr>
        <w:t xml:space="preserve">Tokens de recuperación de contraseña (válidos por 1 hora, de un solo uso).</w:t>
      </w:r>
    </w:p>
    <w:p>
      <w:pPr>
        <w:pStyle w:val="ListParagraph"/>
        <w:numPr>
          <w:ilvl w:val="0"/>
          <w:numId w:val="2"/>
        </w:numPr>
        <w:spacing w:after="60" w:before="60"/>
        <w:jc w:val="both"/>
      </w:pPr>
      <w:r>
        <w:rPr>
          <w:rFonts w:ascii="Arial" w:cs="Arial" w:eastAsia="Arial" w:hAnsi="Arial"/>
          <w:color w:val="212121"/>
          <w:sz w:val="20"/>
          <w:szCs w:val="20"/>
        </w:rPr>
        <w:t xml:space="preserve">Tokens JWT de sesión activa.</w:t>
      </w:r>
    </w:p>
    <w:p>
      <w:pPr>
        <w:pStyle w:val="ListParagraph"/>
        <w:numPr>
          <w:ilvl w:val="0"/>
          <w:numId w:val="2"/>
        </w:numPr>
        <w:spacing w:after="60" w:before="60"/>
        <w:jc w:val="both"/>
      </w:pPr>
      <w:r>
        <w:rPr>
          <w:rFonts w:ascii="Arial" w:cs="Arial" w:eastAsia="Arial" w:hAnsi="Arial"/>
          <w:color w:val="212121"/>
          <w:sz w:val="20"/>
          <w:szCs w:val="20"/>
        </w:rPr>
        <w:t xml:space="preserve">Registros de inicio y cierre de sesión para detección de accesos no autorizados.</w:t>
      </w:r>
    </w:p>
    <w:p>
      <w:pPr>
        <w:pStyle w:val="Heading3"/>
        <w:spacing w:after="80" w:before="200"/>
      </w:pPr>
      <w:r>
        <w:rPr>
          <w:rFonts w:ascii="Arial" w:cs="Arial" w:eastAsia="Arial" w:hAnsi="Arial"/>
          <w:b/>
          <w:bCs/>
          <w:color w:val="212121"/>
          <w:sz w:val="22"/>
          <w:szCs w:val="22"/>
        </w:rPr>
        <w:t xml:space="preserve">2.6 Datos de navegación</w:t>
      </w:r>
    </w:p>
    <w:p>
      <w:pPr>
        <w:pStyle w:val="ListParagraph"/>
        <w:numPr>
          <w:ilvl w:val="0"/>
          <w:numId w:val="2"/>
        </w:numPr>
        <w:spacing w:after="60" w:before="60"/>
        <w:jc w:val="both"/>
      </w:pPr>
      <w:r>
        <w:rPr>
          <w:rFonts w:ascii="Arial" w:cs="Arial" w:eastAsia="Arial" w:hAnsi="Arial"/>
          <w:color w:val="212121"/>
          <w:sz w:val="20"/>
          <w:szCs w:val="20"/>
        </w:rPr>
        <w:t xml:space="preserve">Dirección IP.</w:t>
      </w:r>
    </w:p>
    <w:p>
      <w:pPr>
        <w:pStyle w:val="ListParagraph"/>
        <w:numPr>
          <w:ilvl w:val="0"/>
          <w:numId w:val="2"/>
        </w:numPr>
        <w:spacing w:after="60" w:before="60"/>
        <w:jc w:val="both"/>
      </w:pPr>
      <w:r>
        <w:rPr>
          <w:rFonts w:ascii="Arial" w:cs="Arial" w:eastAsia="Arial" w:hAnsi="Arial"/>
          <w:color w:val="212121"/>
          <w:sz w:val="20"/>
          <w:szCs w:val="20"/>
        </w:rPr>
        <w:t xml:space="preserve">Tipo de navegador y sistema operativo.</w:t>
      </w:r>
    </w:p>
    <w:p>
      <w:pPr>
        <w:pStyle w:val="ListParagraph"/>
        <w:numPr>
          <w:ilvl w:val="0"/>
          <w:numId w:val="2"/>
        </w:numPr>
        <w:spacing w:after="60" w:before="60"/>
        <w:jc w:val="both"/>
      </w:pPr>
      <w:r>
        <w:rPr>
          <w:rFonts w:ascii="Arial" w:cs="Arial" w:eastAsia="Arial" w:hAnsi="Arial"/>
          <w:color w:val="212121"/>
          <w:sz w:val="20"/>
          <w:szCs w:val="20"/>
        </w:rPr>
        <w:t xml:space="preserve">Páginas visitadas y tiempo de sesión.</w:t>
      </w:r>
    </w:p>
    <w:p>
      <w:pPr>
        <w:pStyle w:val="ListParagraph"/>
        <w:numPr>
          <w:ilvl w:val="0"/>
          <w:numId w:val="2"/>
        </w:numPr>
        <w:spacing w:after="60" w:before="60"/>
        <w:jc w:val="both"/>
      </w:pPr>
      <w:r>
        <w:rPr>
          <w:rFonts w:ascii="Arial" w:cs="Arial" w:eastAsia="Arial" w:hAnsi="Arial"/>
          <w:color w:val="212121"/>
          <w:sz w:val="20"/>
          <w:szCs w:val="20"/>
        </w:rPr>
        <w:t xml:space="preserve">Datos almacenados en localStorage del navegador (estado del carrito y sesión activa).</w:t>
      </w:r>
    </w:p>
    <w:p>
      <w:pPr>
        <w:spacing w:after="100" w:before="300"/>
      </w:pPr>
      <w:r>
        <w:rPr>
          <w:rFonts w:ascii="Arial" w:cs="Arial" w:eastAsia="Arial" w:hAnsi="Arial"/>
          <w:b/>
          <w:bCs/>
          <w:color w:val="1B5E20"/>
          <w:sz w:val="22"/>
          <w:szCs w:val="22"/>
        </w:rPr>
        <w:t xml:space="preserve">Artículo 3. </w:t>
      </w:r>
      <w:r>
        <w:rPr>
          <w:rFonts w:ascii="Arial" w:cs="Arial" w:eastAsia="Arial" w:hAnsi="Arial"/>
          <w:b/>
          <w:bCs/>
          <w:color w:val="212121"/>
          <w:sz w:val="22"/>
          <w:szCs w:val="22"/>
        </w:rPr>
        <w:t xml:space="preserve">Finalidades del tratamiento</w:t>
      </w:r>
    </w:p>
    <w:p>
      <w:pPr>
        <w:pStyle w:val="Heading3"/>
        <w:spacing w:after="80" w:before="200"/>
      </w:pPr>
      <w:r>
        <w:rPr>
          <w:rFonts w:ascii="Arial" w:cs="Arial" w:eastAsia="Arial" w:hAnsi="Arial"/>
          <w:b/>
          <w:bCs/>
          <w:color w:val="212121"/>
          <w:sz w:val="22"/>
          <w:szCs w:val="22"/>
        </w:rPr>
        <w:t xml:space="preserve">3.1 Finalidades primarias — necesarias para la operación del servicio</w:t>
      </w:r>
    </w:p>
    <w:p>
      <w:pPr>
        <w:pStyle w:val="ListParagraph"/>
        <w:numPr>
          <w:ilvl w:val="0"/>
          <w:numId w:val="2"/>
        </w:numPr>
        <w:spacing w:after="60" w:before="60"/>
        <w:jc w:val="both"/>
      </w:pPr>
      <w:r>
        <w:rPr>
          <w:rFonts w:ascii="Arial" w:cs="Arial" w:eastAsia="Arial" w:hAnsi="Arial"/>
          <w:color w:val="212121"/>
          <w:sz w:val="20"/>
          <w:szCs w:val="20"/>
        </w:rPr>
        <w:t xml:space="preserve">Creación y administración de la cuenta de usuario.</w:t>
      </w:r>
    </w:p>
    <w:p>
      <w:pPr>
        <w:pStyle w:val="ListParagraph"/>
        <w:numPr>
          <w:ilvl w:val="0"/>
          <w:numId w:val="2"/>
        </w:numPr>
        <w:spacing w:after="60" w:before="60"/>
        <w:jc w:val="both"/>
      </w:pPr>
      <w:r>
        <w:rPr>
          <w:rFonts w:ascii="Arial" w:cs="Arial" w:eastAsia="Arial" w:hAnsi="Arial"/>
          <w:color w:val="212121"/>
          <w:sz w:val="20"/>
          <w:szCs w:val="20"/>
        </w:rPr>
        <w:t xml:space="preserve">Autenticación, verificación de sesión y recuperación de contraseña.</w:t>
      </w:r>
    </w:p>
    <w:p>
      <w:pPr>
        <w:pStyle w:val="ListParagraph"/>
        <w:numPr>
          <w:ilvl w:val="0"/>
          <w:numId w:val="2"/>
        </w:numPr>
        <w:spacing w:after="60" w:before="60"/>
        <w:jc w:val="both"/>
      </w:pPr>
      <w:r>
        <w:rPr>
          <w:rFonts w:ascii="Arial" w:cs="Arial" w:eastAsia="Arial" w:hAnsi="Arial"/>
          <w:color w:val="212121"/>
          <w:sz w:val="20"/>
          <w:szCs w:val="20"/>
        </w:rPr>
        <w:t xml:space="preserve">Gestión del carrito de compras y procesamiento de pedidos.</w:t>
      </w:r>
    </w:p>
    <w:p>
      <w:pPr>
        <w:pStyle w:val="ListParagraph"/>
        <w:numPr>
          <w:ilvl w:val="0"/>
          <w:numId w:val="2"/>
        </w:numPr>
        <w:spacing w:after="60" w:before="60"/>
        <w:jc w:val="both"/>
      </w:pPr>
      <w:r>
        <w:rPr>
          <w:rFonts w:ascii="Arial" w:cs="Arial" w:eastAsia="Arial" w:hAnsi="Arial"/>
          <w:color w:val="212121"/>
          <w:sz w:val="20"/>
          <w:szCs w:val="20"/>
        </w:rPr>
        <w:t xml:space="preserve">Validación de pagos y confirmación de compras.</w:t>
      </w:r>
    </w:p>
    <w:p>
      <w:pPr>
        <w:pStyle w:val="ListParagraph"/>
        <w:numPr>
          <w:ilvl w:val="0"/>
          <w:numId w:val="2"/>
        </w:numPr>
        <w:spacing w:after="60" w:before="60"/>
        <w:jc w:val="both"/>
      </w:pPr>
      <w:r>
        <w:rPr>
          <w:rFonts w:ascii="Arial" w:cs="Arial" w:eastAsia="Arial" w:hAnsi="Arial"/>
          <w:color w:val="212121"/>
          <w:sz w:val="20"/>
          <w:szCs w:val="20"/>
        </w:rPr>
        <w:t xml:space="preserve">Envío de notificaciones transaccionales (confirmación de pedido, respuestas de soporte) por correo electrónico.</w:t>
      </w:r>
    </w:p>
    <w:p>
      <w:pPr>
        <w:pStyle w:val="ListParagraph"/>
        <w:numPr>
          <w:ilvl w:val="0"/>
          <w:numId w:val="2"/>
        </w:numPr>
        <w:spacing w:after="60" w:before="60"/>
        <w:jc w:val="both"/>
      </w:pPr>
      <w:r>
        <w:rPr>
          <w:rFonts w:ascii="Arial" w:cs="Arial" w:eastAsia="Arial" w:hAnsi="Arial"/>
          <w:color w:val="212121"/>
          <w:sz w:val="20"/>
          <w:szCs w:val="20"/>
        </w:rPr>
        <w:t xml:space="preserve">Generación de comprobantes fiscales (CFDI) cuando sean solicitados.</w:t>
      </w:r>
    </w:p>
    <w:p>
      <w:pPr>
        <w:pStyle w:val="ListParagraph"/>
        <w:numPr>
          <w:ilvl w:val="0"/>
          <w:numId w:val="2"/>
        </w:numPr>
        <w:spacing w:after="60" w:before="60"/>
        <w:jc w:val="both"/>
      </w:pPr>
      <w:r>
        <w:rPr>
          <w:rFonts w:ascii="Arial" w:cs="Arial" w:eastAsia="Arial" w:hAnsi="Arial"/>
          <w:color w:val="212121"/>
          <w:sz w:val="20"/>
          <w:szCs w:val="20"/>
        </w:rPr>
        <w:t xml:space="preserve">Atención de solicitudes de soporte a través del módulo de tickets.</w:t>
      </w:r>
    </w:p>
    <w:p>
      <w:pPr>
        <w:pStyle w:val="ListParagraph"/>
        <w:numPr>
          <w:ilvl w:val="0"/>
          <w:numId w:val="2"/>
        </w:numPr>
        <w:spacing w:after="60" w:before="60"/>
        <w:jc w:val="both"/>
      </w:pPr>
      <w:r>
        <w:rPr>
          <w:rFonts w:ascii="Arial" w:cs="Arial" w:eastAsia="Arial" w:hAnsi="Arial"/>
          <w:color w:val="212121"/>
          <w:sz w:val="20"/>
          <w:szCs w:val="20"/>
        </w:rPr>
        <w:t xml:space="preserve">Prevención de fraudes, detección de accesos no autorizados y validación de disponibilidad de inventario.</w:t>
      </w:r>
    </w:p>
    <w:p>
      <w:pPr>
        <w:pStyle w:val="ListParagraph"/>
        <w:numPr>
          <w:ilvl w:val="0"/>
          <w:numId w:val="2"/>
        </w:numPr>
        <w:spacing w:after="60" w:before="60"/>
        <w:jc w:val="both"/>
      </w:pPr>
      <w:r>
        <w:rPr>
          <w:rFonts w:ascii="Arial" w:cs="Arial" w:eastAsia="Arial" w:hAnsi="Arial"/>
          <w:color w:val="212121"/>
          <w:sz w:val="20"/>
          <w:szCs w:val="20"/>
        </w:rPr>
        <w:t xml:space="preserve">Cumplimiento de obligaciones legales, administrativas y de seguridad.</w:t>
      </w:r>
    </w:p>
    <w:p>
      <w:pPr>
        <w:pStyle w:val="Heading3"/>
        <w:spacing w:after="80" w:before="200"/>
      </w:pPr>
      <w:r>
        <w:rPr>
          <w:rFonts w:ascii="Arial" w:cs="Arial" w:eastAsia="Arial" w:hAnsi="Arial"/>
          <w:b/>
          <w:bCs/>
          <w:color w:val="212121"/>
          <w:sz w:val="22"/>
          <w:szCs w:val="22"/>
        </w:rPr>
        <w:t xml:space="preserve">3.2 Finalidades secundarias — opcionales</w:t>
      </w:r>
    </w:p>
    <w:p>
      <w:pPr>
        <w:pStyle w:val="ListParagraph"/>
        <w:numPr>
          <w:ilvl w:val="0"/>
          <w:numId w:val="2"/>
        </w:numPr>
        <w:spacing w:after="60" w:before="60"/>
        <w:jc w:val="both"/>
      </w:pPr>
      <w:r>
        <w:rPr>
          <w:rFonts w:ascii="Arial" w:cs="Arial" w:eastAsia="Arial" w:hAnsi="Arial"/>
          <w:color w:val="212121"/>
          <w:sz w:val="20"/>
          <w:szCs w:val="20"/>
        </w:rPr>
        <w:t xml:space="preserve">Envío de comunicaciones sobre nuevos productos, promociones o actualizaciones de la Plataforma.</w:t>
      </w:r>
    </w:p>
    <w:p>
      <w:pPr>
        <w:pStyle w:val="ListParagraph"/>
        <w:numPr>
          <w:ilvl w:val="0"/>
          <w:numId w:val="2"/>
        </w:numPr>
        <w:spacing w:after="60" w:before="60"/>
        <w:jc w:val="both"/>
      </w:pPr>
      <w:r>
        <w:rPr>
          <w:rFonts w:ascii="Arial" w:cs="Arial" w:eastAsia="Arial" w:hAnsi="Arial"/>
          <w:color w:val="212121"/>
          <w:sz w:val="20"/>
          <w:szCs w:val="20"/>
        </w:rPr>
        <w:t xml:space="preserve">Análisis estadístico de uso de la Plataforma para mejorar la experiencia del usuario.</w:t>
      </w:r>
    </w:p>
    <w:p>
      <w:pPr>
        <w:pStyle w:val="ListParagraph"/>
        <w:numPr>
          <w:ilvl w:val="0"/>
          <w:numId w:val="2"/>
        </w:numPr>
        <w:spacing w:after="60" w:before="60"/>
        <w:jc w:val="both"/>
      </w:pPr>
      <w:r>
        <w:rPr>
          <w:rFonts w:ascii="Arial" w:cs="Arial" w:eastAsia="Arial" w:hAnsi="Arial"/>
          <w:color w:val="212121"/>
          <w:sz w:val="20"/>
          <w:szCs w:val="20"/>
        </w:rPr>
        <w:t xml:space="preserve">Encuestas de satisfacción y recomendaciones de productos.</w:t>
      </w:r>
    </w:p>
    <w:p>
      <w:pPr>
        <w:spacing w:after="80" w:before="80"/>
        <w:jc w:val="both"/>
      </w:pPr>
      <w:r>
        <w:rPr>
          <w:rFonts w:ascii="Arial" w:cs="Arial" w:eastAsia="Arial" w:hAnsi="Arial"/>
          <w:color w:val="212121"/>
          <w:sz w:val="20"/>
          <w:szCs w:val="20"/>
        </w:rPr>
        <w:t xml:space="preserve">El titular podrá oponerse al tratamiento para finalidades secundarias en cualquier momento mediante correo a privacidad@natureza.mx, sin que ello afecte las finalidades primarias ni la relación comercial.</w:t>
      </w:r>
    </w:p>
    <w:p>
      <w:pPr>
        <w:spacing w:after="100" w:before="300"/>
      </w:pPr>
      <w:r>
        <w:rPr>
          <w:rFonts w:ascii="Arial" w:cs="Arial" w:eastAsia="Arial" w:hAnsi="Arial"/>
          <w:b/>
          <w:bCs/>
          <w:color w:val="1B5E20"/>
          <w:sz w:val="22"/>
          <w:szCs w:val="22"/>
        </w:rPr>
        <w:t xml:space="preserve">Artículo 4. </w:t>
      </w:r>
      <w:r>
        <w:rPr>
          <w:rFonts w:ascii="Arial" w:cs="Arial" w:eastAsia="Arial" w:hAnsi="Arial"/>
          <w:b/>
          <w:bCs/>
          <w:color w:val="212121"/>
          <w:sz w:val="22"/>
          <w:szCs w:val="22"/>
        </w:rPr>
        <w:t xml:space="preserve">Base legal del tratamiento</w:t>
      </w:r>
    </w:p>
    <w:p>
      <w:pPr>
        <w:pStyle w:val="ListParagraph"/>
        <w:numPr>
          <w:ilvl w:val="0"/>
          <w:numId w:val="2"/>
        </w:numPr>
        <w:spacing w:after="60" w:before="60"/>
        <w:jc w:val="both"/>
      </w:pPr>
      <w:r>
        <w:rPr>
          <w:rFonts w:ascii="Arial" w:cs="Arial" w:eastAsia="Arial" w:hAnsi="Arial"/>
          <w:color w:val="212121"/>
          <w:sz w:val="20"/>
          <w:szCs w:val="20"/>
        </w:rPr>
        <w:t xml:space="preserve">Ejecución del contrato de compraventa entre Natureza y el Cliente.</w:t>
      </w:r>
    </w:p>
    <w:p>
      <w:pPr>
        <w:pStyle w:val="ListParagraph"/>
        <w:numPr>
          <w:ilvl w:val="0"/>
          <w:numId w:val="2"/>
        </w:numPr>
        <w:spacing w:after="60" w:before="60"/>
        <w:jc w:val="both"/>
      </w:pPr>
      <w:r>
        <w:rPr>
          <w:rFonts w:ascii="Arial" w:cs="Arial" w:eastAsia="Arial" w:hAnsi="Arial"/>
          <w:color w:val="212121"/>
          <w:sz w:val="20"/>
          <w:szCs w:val="20"/>
        </w:rPr>
        <w:t xml:space="preserve">Consentimiento del titular, prestado al aceptar los Términos y Condiciones al momento del registro.</w:t>
      </w:r>
    </w:p>
    <w:p>
      <w:pPr>
        <w:pStyle w:val="ListParagraph"/>
        <w:numPr>
          <w:ilvl w:val="0"/>
          <w:numId w:val="2"/>
        </w:numPr>
        <w:spacing w:after="60" w:before="60"/>
        <w:jc w:val="both"/>
      </w:pPr>
      <w:r>
        <w:rPr>
          <w:rFonts w:ascii="Arial" w:cs="Arial" w:eastAsia="Arial" w:hAnsi="Arial"/>
          <w:color w:val="212121"/>
          <w:sz w:val="20"/>
          <w:szCs w:val="20"/>
        </w:rPr>
        <w:t xml:space="preserve">Cumplimiento de obligaciones legales (emisión de CFDI conforme al Código Fiscal de la Federación).</w:t>
      </w:r>
    </w:p>
    <w:p>
      <w:pPr>
        <w:pStyle w:val="ListParagraph"/>
        <w:numPr>
          <w:ilvl w:val="0"/>
          <w:numId w:val="2"/>
        </w:numPr>
        <w:spacing w:after="60" w:before="60"/>
        <w:jc w:val="both"/>
      </w:pPr>
      <w:r>
        <w:rPr>
          <w:rFonts w:ascii="Arial" w:cs="Arial" w:eastAsia="Arial" w:hAnsi="Arial"/>
          <w:color w:val="212121"/>
          <w:sz w:val="20"/>
          <w:szCs w:val="20"/>
        </w:rPr>
        <w:t xml:space="preserve">Interés legítimo en la prestación segura del servicio y prevención de fraudes.</w:t>
      </w:r>
    </w:p>
    <w:p>
      <w:pPr>
        <w:spacing w:after="100" w:before="300"/>
      </w:pPr>
      <w:r>
        <w:rPr>
          <w:rFonts w:ascii="Arial" w:cs="Arial" w:eastAsia="Arial" w:hAnsi="Arial"/>
          <w:b/>
          <w:bCs/>
          <w:color w:val="1B5E20"/>
          <w:sz w:val="22"/>
          <w:szCs w:val="22"/>
        </w:rPr>
        <w:t xml:space="preserve">Artículo 5. </w:t>
      </w:r>
      <w:r>
        <w:rPr>
          <w:rFonts w:ascii="Arial" w:cs="Arial" w:eastAsia="Arial" w:hAnsi="Arial"/>
          <w:b/>
          <w:bCs/>
          <w:color w:val="212121"/>
          <w:sz w:val="22"/>
          <w:szCs w:val="22"/>
        </w:rPr>
        <w:t xml:space="preserve">Transferencia de datos a terceros</w:t>
      </w:r>
    </w:p>
    <w:p>
      <w:pPr>
        <w:spacing w:after="80" w:before="80"/>
        <w:jc w:val="both"/>
      </w:pPr>
      <w:r>
        <w:rPr>
          <w:rFonts w:ascii="Arial" w:cs="Arial" w:eastAsia="Arial" w:hAnsi="Arial"/>
          <w:color w:val="212121"/>
          <w:sz w:val="20"/>
          <w:szCs w:val="20"/>
        </w:rPr>
        <w:t xml:space="preserve">Natureza podrá compartir los datos personales del titular con las siguientes categorías de destinatarios, en la medida estrictamente necesaria para las finalidades descritas:</w:t>
      </w:r>
    </w:p>
    <w:p>
      <w:pPr>
        <w:pStyle w:val="ListParagraph"/>
        <w:numPr>
          <w:ilvl w:val="0"/>
          <w:numId w:val="2"/>
        </w:numPr>
        <w:spacing w:after="60" w:before="60"/>
        <w:jc w:val="both"/>
      </w:pPr>
      <w:r>
        <w:rPr>
          <w:rFonts w:ascii="Arial" w:cs="Arial" w:eastAsia="Arial" w:hAnsi="Arial"/>
          <w:color w:val="212121"/>
          <w:sz w:val="20"/>
          <w:szCs w:val="20"/>
        </w:rPr>
        <w:t xml:space="preserve">PayPal Holdings, Inc.: para el procesamiento seguro de pagos. PayPal cuenta con su propia Política de Privacidad disponible en paypal.com.</w:t>
      </w:r>
    </w:p>
    <w:p>
      <w:pPr>
        <w:pStyle w:val="ListParagraph"/>
        <w:numPr>
          <w:ilvl w:val="0"/>
          <w:numId w:val="2"/>
        </w:numPr>
        <w:spacing w:after="60" w:before="60"/>
        <w:jc w:val="both"/>
      </w:pPr>
      <w:r>
        <w:rPr>
          <w:rFonts w:ascii="Arial" w:cs="Arial" w:eastAsia="Arial" w:hAnsi="Arial"/>
          <w:color w:val="212121"/>
          <w:sz w:val="20"/>
          <w:szCs w:val="20"/>
        </w:rPr>
        <w:t xml:space="preserve">Servicios de paquetería (Correos de México / DHL): datos de envío para la entrega de pedidos.</w:t>
      </w:r>
    </w:p>
    <w:p>
      <w:pPr>
        <w:pStyle w:val="ListParagraph"/>
        <w:numPr>
          <w:ilvl w:val="0"/>
          <w:numId w:val="2"/>
        </w:numPr>
        <w:spacing w:after="60" w:before="60"/>
        <w:jc w:val="both"/>
      </w:pPr>
      <w:r>
        <w:rPr>
          <w:rFonts w:ascii="Arial" w:cs="Arial" w:eastAsia="Arial" w:hAnsi="Arial"/>
          <w:color w:val="212121"/>
          <w:sz w:val="20"/>
          <w:szCs w:val="20"/>
        </w:rPr>
        <w:t xml:space="preserve">Google LLC (Gmail SMTP): servicio de correo electrónico para el envío de notificaciones transaccionales.</w:t>
      </w:r>
    </w:p>
    <w:p>
      <w:pPr>
        <w:spacing w:after="80" w:before="80"/>
        <w:jc w:val="both"/>
      </w:pPr>
      <w:r>
        <w:rPr>
          <w:rFonts w:ascii="Arial" w:cs="Arial" w:eastAsia="Arial" w:hAnsi="Arial"/>
          <w:color w:val="212121"/>
          <w:sz w:val="20"/>
          <w:szCs w:val="20"/>
        </w:rPr>
        <w:t xml:space="preserve">Natureza no vende, alquila ni comercializa los datos personales de sus usuarios a terceros con fines de mercadotecnia.</w:t>
      </w:r>
    </w:p>
    <w:p>
      <w:pPr>
        <w:spacing w:after="100" w:before="300"/>
      </w:pPr>
      <w:r>
        <w:rPr>
          <w:rFonts w:ascii="Arial" w:cs="Arial" w:eastAsia="Arial" w:hAnsi="Arial"/>
          <w:b/>
          <w:bCs/>
          <w:color w:val="1B5E20"/>
          <w:sz w:val="22"/>
          <w:szCs w:val="22"/>
        </w:rPr>
        <w:t xml:space="preserve">Artículo 6. </w:t>
      </w:r>
      <w:r>
        <w:rPr>
          <w:rFonts w:ascii="Arial" w:cs="Arial" w:eastAsia="Arial" w:hAnsi="Arial"/>
          <w:b/>
          <w:bCs/>
          <w:color w:val="212121"/>
          <w:sz w:val="22"/>
          <w:szCs w:val="22"/>
        </w:rPr>
        <w:t xml:space="preserve">Seguridad de la información</w:t>
      </w:r>
    </w:p>
    <w:p>
      <w:pPr>
        <w:spacing w:after="80" w:before="80"/>
        <w:jc w:val="both"/>
      </w:pPr>
      <w:r>
        <w:rPr>
          <w:rFonts w:ascii="Arial" w:cs="Arial" w:eastAsia="Arial" w:hAnsi="Arial"/>
          <w:color w:val="212121"/>
          <w:sz w:val="20"/>
          <w:szCs w:val="20"/>
        </w:rPr>
        <w:t xml:space="preserve">Natureza implementa medidas administrativas, técnicas y físicas razonables para evitar daño, pérdida, alteración, destrucción, acceso no autorizado o tratamiento indebido de los datos personales, incluyendo:</w:t>
      </w:r>
    </w:p>
    <w:p>
      <w:pPr>
        <w:pStyle w:val="ListParagraph"/>
        <w:numPr>
          <w:ilvl w:val="0"/>
          <w:numId w:val="2"/>
        </w:numPr>
        <w:spacing w:after="60" w:before="60"/>
        <w:jc w:val="both"/>
      </w:pPr>
      <w:r>
        <w:rPr>
          <w:rFonts w:ascii="Arial" w:cs="Arial" w:eastAsia="Arial" w:hAnsi="Arial"/>
          <w:color w:val="212121"/>
          <w:sz w:val="20"/>
          <w:szCs w:val="20"/>
        </w:rPr>
        <w:t xml:space="preserve">Contraseñas almacenadas con hash bcrypt (factor de costo adaptativo).</w:t>
      </w:r>
    </w:p>
    <w:p>
      <w:pPr>
        <w:pStyle w:val="ListParagraph"/>
        <w:numPr>
          <w:ilvl w:val="0"/>
          <w:numId w:val="2"/>
        </w:numPr>
        <w:spacing w:after="60" w:before="60"/>
        <w:jc w:val="both"/>
      </w:pPr>
      <w:r>
        <w:rPr>
          <w:rFonts w:ascii="Arial" w:cs="Arial" w:eastAsia="Arial" w:hAnsi="Arial"/>
          <w:color w:val="212121"/>
          <w:sz w:val="20"/>
          <w:szCs w:val="20"/>
        </w:rPr>
        <w:t xml:space="preserve">Autenticación mediante tokens JWT con tiempo de expiración definido.</w:t>
      </w:r>
    </w:p>
    <w:p>
      <w:pPr>
        <w:pStyle w:val="ListParagraph"/>
        <w:numPr>
          <w:ilvl w:val="0"/>
          <w:numId w:val="2"/>
        </w:numPr>
        <w:spacing w:after="60" w:before="60"/>
        <w:jc w:val="both"/>
      </w:pPr>
      <w:r>
        <w:rPr>
          <w:rFonts w:ascii="Arial" w:cs="Arial" w:eastAsia="Arial" w:hAnsi="Arial"/>
          <w:color w:val="212121"/>
          <w:sz w:val="20"/>
          <w:szCs w:val="20"/>
        </w:rPr>
        <w:t xml:space="preserve">Credenciales sensibles (JWT secret, claves de PayPal, SMTP) gestionadas mediante variables de entorno (.env), excluidas del control de versiones.</w:t>
      </w:r>
    </w:p>
    <w:p>
      <w:pPr>
        <w:pStyle w:val="ListParagraph"/>
        <w:numPr>
          <w:ilvl w:val="0"/>
          <w:numId w:val="2"/>
        </w:numPr>
        <w:spacing w:after="60" w:before="60"/>
        <w:jc w:val="both"/>
      </w:pPr>
      <w:r>
        <w:rPr>
          <w:rFonts w:ascii="Arial" w:cs="Arial" w:eastAsia="Arial" w:hAnsi="Arial"/>
          <w:color w:val="212121"/>
          <w:sz w:val="20"/>
          <w:szCs w:val="20"/>
        </w:rPr>
        <w:t xml:space="preserve">Control de acceso al panel administrativo restringido por rol (isAdmin), con validación en backend y frontend.</w:t>
      </w:r>
    </w:p>
    <w:p>
      <w:pPr>
        <w:pStyle w:val="ListParagraph"/>
        <w:numPr>
          <w:ilvl w:val="0"/>
          <w:numId w:val="2"/>
        </w:numPr>
        <w:spacing w:after="60" w:before="60"/>
        <w:jc w:val="both"/>
      </w:pPr>
      <w:r>
        <w:rPr>
          <w:rFonts w:ascii="Arial" w:cs="Arial" w:eastAsia="Arial" w:hAnsi="Arial"/>
          <w:color w:val="212121"/>
          <w:sz w:val="20"/>
          <w:szCs w:val="20"/>
        </w:rPr>
        <w:t xml:space="preserve">Transacciones SQL con bloqueo pesimista (SELECT...FOR UPDATE) para garantizar la integridad de datos de inventario y pagos.</w:t>
      </w:r>
    </w:p>
    <w:p>
      <w:pPr>
        <w:pStyle w:val="ListParagraph"/>
        <w:numPr>
          <w:ilvl w:val="0"/>
          <w:numId w:val="2"/>
        </w:numPr>
        <w:spacing w:after="60" w:before="60"/>
        <w:jc w:val="both"/>
      </w:pPr>
      <w:r>
        <w:rPr>
          <w:rFonts w:ascii="Arial" w:cs="Arial" w:eastAsia="Arial" w:hAnsi="Arial"/>
          <w:color w:val="212121"/>
          <w:sz w:val="20"/>
          <w:szCs w:val="20"/>
        </w:rPr>
        <w:t xml:space="preserve">Comunicación preparada para operar bajo protocolo HTTPS en entorno de producción.</w:t>
      </w:r>
    </w:p>
    <w:p>
      <w:pPr>
        <w:spacing w:after="80" w:before="80"/>
        <w:jc w:val="both"/>
      </w:pPr>
      <w:r>
        <w:rPr>
          <w:rFonts w:ascii="Arial" w:cs="Arial" w:eastAsia="Arial" w:hAnsi="Arial"/>
          <w:color w:val="212121"/>
          <w:sz w:val="20"/>
          <w:szCs w:val="20"/>
        </w:rPr>
        <w:t xml:space="preserve">No obstante, el titular reconoce que ningún sistema digital puede garantizar seguridad absoluta. Natureza se compromete a actuar con diligencia razonable y a fortalecer continuamente sus mecanismos de protección.</w:t>
      </w:r>
    </w:p>
    <w:p>
      <w:pPr>
        <w:spacing w:after="100" w:before="300"/>
      </w:pPr>
      <w:r>
        <w:rPr>
          <w:rFonts w:ascii="Arial" w:cs="Arial" w:eastAsia="Arial" w:hAnsi="Arial"/>
          <w:b/>
          <w:bCs/>
          <w:color w:val="1B5E20"/>
          <w:sz w:val="22"/>
          <w:szCs w:val="22"/>
        </w:rPr>
        <w:t xml:space="preserve">Artículo 7. </w:t>
      </w:r>
      <w:r>
        <w:rPr>
          <w:rFonts w:ascii="Arial" w:cs="Arial" w:eastAsia="Arial" w:hAnsi="Arial"/>
          <w:b/>
          <w:bCs/>
          <w:color w:val="212121"/>
          <w:sz w:val="22"/>
          <w:szCs w:val="22"/>
        </w:rPr>
        <w:t xml:space="preserve">Plazos de conservación</w:t>
      </w:r>
    </w:p>
    <w:p>
      <w:pPr>
        <w:pStyle w:val="ListParagraph"/>
        <w:numPr>
          <w:ilvl w:val="0"/>
          <w:numId w:val="2"/>
        </w:numPr>
        <w:spacing w:after="60" w:before="60"/>
        <w:jc w:val="both"/>
      </w:pPr>
      <w:r>
        <w:rPr>
          <w:rFonts w:ascii="Arial" w:cs="Arial" w:eastAsia="Arial" w:hAnsi="Arial"/>
          <w:color w:val="212121"/>
          <w:sz w:val="20"/>
          <w:szCs w:val="20"/>
        </w:rPr>
        <w:t xml:space="preserve">Datos de cuenta: mientras la cuenta esté activa. Tras solicitud de baja, se conservan por 5 años para cumplimiento de obligaciones fiscales y legales.</w:t>
      </w:r>
    </w:p>
    <w:p>
      <w:pPr>
        <w:pStyle w:val="ListParagraph"/>
        <w:numPr>
          <w:ilvl w:val="0"/>
          <w:numId w:val="2"/>
        </w:numPr>
        <w:spacing w:after="60" w:before="60"/>
        <w:jc w:val="both"/>
      </w:pPr>
      <w:r>
        <w:rPr>
          <w:rFonts w:ascii="Arial" w:cs="Arial" w:eastAsia="Arial" w:hAnsi="Arial"/>
          <w:color w:val="212121"/>
          <w:sz w:val="20"/>
          <w:szCs w:val="20"/>
        </w:rPr>
        <w:t xml:space="preserve">Datos de pedidos y CFDI: 5 años conforme al Código Fiscal de la Federación.</w:t>
      </w:r>
    </w:p>
    <w:p>
      <w:pPr>
        <w:pStyle w:val="ListParagraph"/>
        <w:numPr>
          <w:ilvl w:val="0"/>
          <w:numId w:val="2"/>
        </w:numPr>
        <w:spacing w:after="60" w:before="60"/>
        <w:jc w:val="both"/>
      </w:pPr>
      <w:r>
        <w:rPr>
          <w:rFonts w:ascii="Arial" w:cs="Arial" w:eastAsia="Arial" w:hAnsi="Arial"/>
          <w:color w:val="212121"/>
          <w:sz w:val="20"/>
          <w:szCs w:val="20"/>
        </w:rPr>
        <w:t xml:space="preserve">Tokens de recuperación de contraseña: se eliminan automáticamente al ser utilizados o tras expirar (1 hora).</w:t>
      </w:r>
    </w:p>
    <w:p>
      <w:pPr>
        <w:pStyle w:val="ListParagraph"/>
        <w:numPr>
          <w:ilvl w:val="0"/>
          <w:numId w:val="2"/>
        </w:numPr>
        <w:spacing w:after="60" w:before="60"/>
        <w:jc w:val="both"/>
      </w:pPr>
      <w:r>
        <w:rPr>
          <w:rFonts w:ascii="Arial" w:cs="Arial" w:eastAsia="Arial" w:hAnsi="Arial"/>
          <w:color w:val="212121"/>
          <w:sz w:val="20"/>
          <w:szCs w:val="20"/>
        </w:rPr>
        <w:t xml:space="preserve">Datos de navegación: máximo 12 meses en registros de servidor.</w:t>
      </w:r>
    </w:p>
    <w:p>
      <w:pPr>
        <w:spacing w:after="100" w:before="300"/>
      </w:pPr>
      <w:r>
        <w:rPr>
          <w:rFonts w:ascii="Arial" w:cs="Arial" w:eastAsia="Arial" w:hAnsi="Arial"/>
          <w:b/>
          <w:bCs/>
          <w:color w:val="1B5E20"/>
          <w:sz w:val="22"/>
          <w:szCs w:val="22"/>
        </w:rPr>
        <w:t xml:space="preserve">Artículo 8. </w:t>
      </w:r>
      <w:r>
        <w:rPr>
          <w:rFonts w:ascii="Arial" w:cs="Arial" w:eastAsia="Arial" w:hAnsi="Arial"/>
          <w:b/>
          <w:bCs/>
          <w:color w:val="212121"/>
          <w:sz w:val="22"/>
          <w:szCs w:val="22"/>
        </w:rPr>
        <w:t xml:space="preserve">Derechos ARCO</w:t>
      </w:r>
    </w:p>
    <w:p>
      <w:pPr>
        <w:spacing w:after="80" w:before="80"/>
        <w:jc w:val="both"/>
      </w:pPr>
      <w:r>
        <w:rPr>
          <w:rFonts w:ascii="Arial" w:cs="Arial" w:eastAsia="Arial" w:hAnsi="Arial"/>
          <w:color w:val="212121"/>
          <w:sz w:val="20"/>
          <w:szCs w:val="20"/>
        </w:rPr>
        <w:t xml:space="preserve">El titular de los datos personales podrá ejercer en todo momento sus derechos de:</w:t>
      </w:r>
    </w:p>
    <w:p>
      <w:pPr>
        <w:pStyle w:val="ListParagraph"/>
        <w:numPr>
          <w:ilvl w:val="0"/>
          <w:numId w:val="2"/>
        </w:numPr>
        <w:spacing w:after="60" w:before="60"/>
        <w:jc w:val="both"/>
      </w:pPr>
      <w:r>
        <w:rPr>
          <w:rFonts w:ascii="Arial" w:cs="Arial" w:eastAsia="Arial" w:hAnsi="Arial"/>
          <w:color w:val="212121"/>
          <w:sz w:val="20"/>
          <w:szCs w:val="20"/>
        </w:rPr>
        <w:t xml:space="preserve">Acceso: conocer qué datos personales se tratan y con qué finalidad.</w:t>
      </w:r>
    </w:p>
    <w:p>
      <w:pPr>
        <w:pStyle w:val="ListParagraph"/>
        <w:numPr>
          <w:ilvl w:val="0"/>
          <w:numId w:val="2"/>
        </w:numPr>
        <w:spacing w:after="60" w:before="60"/>
        <w:jc w:val="both"/>
      </w:pPr>
      <w:r>
        <w:rPr>
          <w:rFonts w:ascii="Arial" w:cs="Arial" w:eastAsia="Arial" w:hAnsi="Arial"/>
          <w:color w:val="212121"/>
          <w:sz w:val="20"/>
          <w:szCs w:val="20"/>
        </w:rPr>
        <w:t xml:space="preserve">Rectificación: solicitar la corrección de datos inexactos, incompletos o desactualizados.</w:t>
      </w:r>
    </w:p>
    <w:p>
      <w:pPr>
        <w:pStyle w:val="ListParagraph"/>
        <w:numPr>
          <w:ilvl w:val="0"/>
          <w:numId w:val="2"/>
        </w:numPr>
        <w:spacing w:after="60" w:before="60"/>
        <w:jc w:val="both"/>
      </w:pPr>
      <w:r>
        <w:rPr>
          <w:rFonts w:ascii="Arial" w:cs="Arial" w:eastAsia="Arial" w:hAnsi="Arial"/>
          <w:color w:val="212121"/>
          <w:sz w:val="20"/>
          <w:szCs w:val="20"/>
        </w:rPr>
        <w:t xml:space="preserve">Cancelación: solicitar la supresión de sus datos cuando no sean necesarios para las finalidades descritas.</w:t>
      </w:r>
    </w:p>
    <w:p>
      <w:pPr>
        <w:pStyle w:val="ListParagraph"/>
        <w:numPr>
          <w:ilvl w:val="0"/>
          <w:numId w:val="2"/>
        </w:numPr>
        <w:spacing w:after="60" w:before="60"/>
        <w:jc w:val="both"/>
      </w:pPr>
      <w:r>
        <w:rPr>
          <w:rFonts w:ascii="Arial" w:cs="Arial" w:eastAsia="Arial" w:hAnsi="Arial"/>
          <w:color w:val="212121"/>
          <w:sz w:val="20"/>
          <w:szCs w:val="20"/>
        </w:rPr>
        <w:t xml:space="preserve">Oposición: oponerse al tratamiento de sus datos para finalidades secundarias.</w:t>
      </w:r>
    </w:p>
    <w:p>
      <w:pPr>
        <w:spacing w:after="80" w:before="80"/>
        <w:jc w:val="both"/>
      </w:pPr>
      <w:r>
        <w:rPr>
          <w:rFonts w:ascii="Arial" w:cs="Arial" w:eastAsia="Arial" w:hAnsi="Arial"/>
          <w:color w:val="212121"/>
          <w:sz w:val="20"/>
          <w:szCs w:val="20"/>
        </w:rPr>
        <w:t xml:space="preserve">Para ejercer cualquiera de estos derechos, el titular deberá enviar una solicitud a privacidad@natureza.mx indicando: nombre completo, correo registrado, derecho que desea ejercer y descripción clara de los datos objeto de la petición. Cuando resulte necesario, podrá solicitarse información adicional para acreditar la identidad del titular o, en su caso, la representación legal con la que actúe. Natureza responderá en un plazo máximo de 20 días hábiles.</w:t>
      </w:r>
    </w:p>
    <w:p>
      <w:pPr>
        <w:spacing w:after="100" w:before="300"/>
      </w:pPr>
      <w:r>
        <w:rPr>
          <w:rFonts w:ascii="Arial" w:cs="Arial" w:eastAsia="Arial" w:hAnsi="Arial"/>
          <w:b/>
          <w:bCs/>
          <w:color w:val="1B5E20"/>
          <w:sz w:val="22"/>
          <w:szCs w:val="22"/>
        </w:rPr>
        <w:t xml:space="preserve">Artículo 9. </w:t>
      </w:r>
      <w:r>
        <w:rPr>
          <w:rFonts w:ascii="Arial" w:cs="Arial" w:eastAsia="Arial" w:hAnsi="Arial"/>
          <w:b/>
          <w:bCs/>
          <w:color w:val="212121"/>
          <w:sz w:val="22"/>
          <w:szCs w:val="22"/>
        </w:rPr>
        <w:t xml:space="preserve">Uso de cookies y almacenamiento local</w:t>
      </w:r>
    </w:p>
    <w:p>
      <w:pPr>
        <w:spacing w:after="80" w:before="80"/>
        <w:jc w:val="both"/>
      </w:pPr>
      <w:r>
        <w:rPr>
          <w:rFonts w:ascii="Arial" w:cs="Arial" w:eastAsia="Arial" w:hAnsi="Arial"/>
          <w:color w:val="212121"/>
          <w:sz w:val="20"/>
          <w:szCs w:val="20"/>
        </w:rPr>
        <w:t xml:space="preserve">La Plataforma utiliza localStorage del navegador para mantener la sesión activa del usuario y conservar el estado del carrito de compras entre visitas. Este almacenamiento es estrictamente necesario para el funcionamiento del servicio y no se utiliza para rastreo publicitario. El usuario puede borrar estos datos desde la configuración de su navegador, lo que implicará el cierre de sesión y la pérdida del contenido del carrito.</w:t>
      </w:r>
    </w:p>
    <w:p>
      <w:pPr>
        <w:spacing w:after="100" w:before="300"/>
      </w:pPr>
      <w:r>
        <w:rPr>
          <w:rFonts w:ascii="Arial" w:cs="Arial" w:eastAsia="Arial" w:hAnsi="Arial"/>
          <w:b/>
          <w:bCs/>
          <w:color w:val="1B5E20"/>
          <w:sz w:val="22"/>
          <w:szCs w:val="22"/>
        </w:rPr>
        <w:t xml:space="preserve">Artículo 10. </w:t>
      </w:r>
      <w:r>
        <w:rPr>
          <w:rFonts w:ascii="Arial" w:cs="Arial" w:eastAsia="Arial" w:hAnsi="Arial"/>
          <w:b/>
          <w:bCs/>
          <w:color w:val="212121"/>
          <w:sz w:val="22"/>
          <w:szCs w:val="22"/>
        </w:rPr>
        <w:t xml:space="preserve">Modificaciones a la Política de Privacidad</w:t>
      </w:r>
    </w:p>
    <w:p>
      <w:pPr>
        <w:spacing w:after="80" w:before="80"/>
        <w:jc w:val="both"/>
      </w:pPr>
      <w:r>
        <w:rPr>
          <w:rFonts w:ascii="Arial" w:cs="Arial" w:eastAsia="Arial" w:hAnsi="Arial"/>
          <w:color w:val="212121"/>
          <w:sz w:val="20"/>
          <w:szCs w:val="20"/>
        </w:rPr>
        <w:t xml:space="preserve">Natureza se reserva el derecho de modificar, actualizar o ajustar en cualquier momento el presente documento, ya sea por cambios legales, regulatorios, tecnológicos, administrativos o derivados de la propia operación del sitio web. Cualquier modificación será publicada en la Plataforma mediante actualización de la fecha indicada al inicio del documento. Se recomienda al usuario revisarlo periódicamente para mantenerse informado sobre la forma en que se protege su información personal.</w:t>
      </w:r>
    </w:p>
    <w:p>
      <w:pPr>
        <w:spacing w:after="100" w:before="300"/>
      </w:pPr>
      <w:r>
        <w:rPr>
          <w:rFonts w:ascii="Arial" w:cs="Arial" w:eastAsia="Arial" w:hAnsi="Arial"/>
          <w:b/>
          <w:bCs/>
          <w:color w:val="1B5E20"/>
          <w:sz w:val="22"/>
          <w:szCs w:val="22"/>
        </w:rPr>
        <w:t xml:space="preserve">Artículo 11. </w:t>
      </w:r>
      <w:r>
        <w:rPr>
          <w:rFonts w:ascii="Arial" w:cs="Arial" w:eastAsia="Arial" w:hAnsi="Arial"/>
          <w:b/>
          <w:bCs/>
          <w:color w:val="212121"/>
          <w:sz w:val="22"/>
          <w:szCs w:val="22"/>
        </w:rPr>
        <w:t xml:space="preserve">Autoridad supervisora</w:t>
      </w:r>
    </w:p>
    <w:p>
      <w:pPr>
        <w:spacing w:after="80" w:before="80"/>
        <w:jc w:val="both"/>
      </w:pPr>
      <w:r>
        <w:rPr>
          <w:rFonts w:ascii="Arial" w:cs="Arial" w:eastAsia="Arial" w:hAnsi="Arial"/>
          <w:color w:val="212121"/>
          <w:sz w:val="20"/>
          <w:szCs w:val="20"/>
        </w:rPr>
        <w:t xml:space="preserve">En caso de que el titular considere que sus derechos no han sido atendidos adecuadamente, podrá acudir al Instituto Nacional de Transparencia, Acceso a la Información y Protección de Datos Personales (INAI), con sede en Ciudad de México, sin perjuicio de las acciones legales que correspondan.</w:t>
      </w:r>
    </w:p>
    <w:p>
      <w:pPr>
        <w:spacing w:after="50" w:before="50"/>
      </w:pPr>
      <w:r>
        <w:rPr>
          <w:sz w:val="18"/>
          <w:szCs w:val="18"/>
        </w:rPr>
        <w:t xml:space="preserve"/>
      </w:r>
    </w:p>
    <w:p>
      <w:pPr>
        <w:spacing w:after="50" w:before="50"/>
      </w:pPr>
      <w:r>
        <w:rPr>
          <w:sz w:val="18"/>
          <w:szCs w:val="18"/>
        </w:rPr>
        <w:t xml:space="preserve"/>
      </w:r>
    </w:p>
    <w:p>
      <w:pPr>
        <w:pBdr>
          <w:bottom w:val="single" w:color="C8E6C9" w:sz="2"/>
        </w:pBdr>
        <w:spacing w:after="160" w:before="160"/>
      </w:pPr>
      <w:r>
        <w:t xml:space="preserve"/>
      </w:r>
    </w:p>
    <w:p>
      <w:pPr>
        <w:spacing w:after="50" w:before="50"/>
      </w:pPr>
      <w:r>
        <w:rPr>
          <w:sz w:val="18"/>
          <w:szCs w:val="18"/>
        </w:rPr>
        <w:t xml:space="preserve"/>
      </w:r>
    </w:p>
    <w:p>
      <w:pPr>
        <w:spacing w:after="60" w:before="60"/>
        <w:jc w:val="center"/>
      </w:pPr>
      <w:r>
        <w:rPr>
          <w:rFonts w:ascii="Arial" w:cs="Arial" w:eastAsia="Arial" w:hAnsi="Arial"/>
          <w:i/>
          <w:iCs/>
          <w:color w:val="757575"/>
          <w:sz w:val="18"/>
          <w:szCs w:val="18"/>
        </w:rPr>
        <w:t xml:space="preserve">© 2025 Natureza · Política de Privacidad y Aviso de Privacidad · Guadalajara, Jalisco, México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2026-05-21T01:57:33.037Z</dcterms:created>
  <dcterms:modified xsi:type="dcterms:W3CDTF">2026-05-21T01:57:33.037Z</dcterms:modified>
</cp:coreProperties>
</file>

<file path=docProps/custom.xml><?xml version="1.0" encoding="utf-8"?>
<Properties xmlns="http://schemas.openxmlformats.org/officeDocument/2006/custom-properties" xmlns:vt="http://schemas.openxmlformats.org/officeDocument/2006/docPropsVTypes"/>
</file>