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Глоссарий</w:t>
      </w:r>
    </w:p>
    <w:p>
      <w:pPr>
        <w:pStyle w:val="Style24"/>
        <w:spacing w:before="0" w:after="0"/>
        <w:rPr/>
      </w:pPr>
      <w:r>
        <w:rPr/>
        <w:t xml:space="preserve"> </w:t>
      </w:r>
      <w:bookmarkStart w:id="0" w:name="glossary"/>
      <w:bookmarkEnd w:id="0"/>
      <w:r>
        <w:rPr/>
        <w:t xml:space="preserve"> </w:t>
        <w:t xml:space="preserve"> </w:t>
      </w:r>
    </w:p>
    <w:tbl>
      <w:tblPr>
        <w:tblW w:w="6887" w:type="dxa"/>
        <w:jc w:val="start"/>
        <w:tblInd w:w="0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7"/>
        <w:gridCol w:w="5990"/>
      </w:tblGrid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АСУ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автоматизированная система управления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АСУ ТП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автоматизированная система управления технологическим процессом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ПА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противоаварийная автоматика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ПО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программное обеспечение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ПТК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программно-технический комплекс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СБ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сервер блока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ТК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тепловой контроль </w:t>
            </w:r>
          </w:p>
        </w:tc>
      </w:tr>
      <w:tr>
        <w:trPr/>
        <w:tc>
          <w:tcPr>
            <w:tcW w:w="897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>ЭГР</w:t>
            </w:r>
          </w:p>
        </w:tc>
        <w:tc>
          <w:tcPr>
            <w:tcW w:w="5990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электрогидравлический регулятор </w:t>
            </w:r>
          </w:p>
        </w:tc>
      </w:tr>
    </w:tbl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Введение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 является лидером российского рынка промышленной автоматизации для объектов</w:t>
        <w:t xml:space="preserve"> гидроэнергетики. Компания выполняет полный цикл работ по автоматизации технологических процессов</w:t>
        <w:t xml:space="preserve"> выработки и распределения (выдачи) электроэнергии ГЭС: обследование объекта, разработка проектной</w:t>
        <w:t xml:space="preserve"> документации, создание прикладного программного обеспечения, комплектование и изготовление систем,</w:t>
        <w:t xml:space="preserve"> выполнение монтажных и пуско-наладочных работ, обучение специалистов заказчика, гарантийное и</w:t>
        <w:t xml:space="preserve"> постгарантийное обслуживание.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Автоматизация технологических процессов ГЭС разрабатывается в объеме: общестанционных систем</w:t>
        <w:t xml:space="preserve"> производства, выдачи и потребления электроэнергии; оборудования, непосредственно участвующего в</w:t>
        <w:t xml:space="preserve"> производстве, выдаче и потреблении электроэнергии – автоматизация основного оборудования ГЭС;</w:t>
        <w:t xml:space="preserve"> оборудования, обеспечивающего функционирование основного оборудования ГЭС – автоматизация</w:t>
        <w:t xml:space="preserve"> вспомогательного оборудования.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Преимущества для Заказчика: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Снижение требований к составу знаний операторов и обслуживающего персонала;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Уменьшение расходов на обучение и повышение квалификации на пост гарантийном периоде;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ПТК «Апогей» сочетает в себе достоинства традиционных распределенных систем управления (DCS) и</w:t>
        <w:t xml:space="preserve"> программируемых логических контроллеров (PLC), от DCS – современный интерфейс, большие</w:t>
        <w:t xml:space="preserve"> вычислительные возможности, от PLC – высокоскоростное последовательное и логическое управление,</w:t>
        <w:t xml:space="preserve"> низкая по сравнению с DCS стоимость, возможность установки в помещениях, не требующих специальных</w:t>
        <w:t xml:space="preserve"> климатических условий;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Промышленные контроллеры фирмы «OMRON» и «Siemens», являющиеся ядром ПТК «Апогей», имеют все</w:t>
        <w:t xml:space="preserve"> необходимые сертификаты соответствия и разрешения для применения на ГЭС;</w:t>
        <w:t xml:space="preserve"> </w:t>
        <w:t xml:space="preserve">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ind w:start="707" w:hanging="283"/>
        <w:rPr/>
      </w:pPr>
      <w:r>
        <w:rPr/>
        <w:t>Предложенное техническое решение для построения АСУ ТП И АИСКУЭЭ является серийно выпускаемым и</w:t>
        <w:t xml:space="preserve"> применяется на ГЭС в России и за рубежом: Майнская ГЭС, Красноярская ГЭС, Зейская ГЭС, Загорская</w:t>
        <w:t xml:space="preserve"> ГАЭС, Сангтудинская ГЭС, Зарамагская ГЭС, Новосибирская ГЭС, Кривопорожская ГЭС, Шекснинская ГЭС,</w:t>
        <w:t xml:space="preserve"> Толмачевской ГЭС, Вуоксинская ГЭС, ГЭС Балимела (Индия), ГЭС Шикапа (Ангола), ГЭС Капанда (Ангола),</w:t>
        <w:t xml:space="preserve"> ГЭС «Се Сан 3» (Вьетнам), Кашхатау ГЭС, Волховская ГЭС, Богучанская ГЭС, Усть-Каменогорская ГЭС,</w:t>
        <w:t xml:space="preserve"> Шульбинская ГЭС, Камбаратинская ГЭС-2 и др.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 располагает квалифицированным персоналом, необходимым для выполнения всего</w:t>
        <w:t xml:space="preserve"> комплекса работ. Штатная численность ООО «Ракурса-инжиниринг» более 180 человек, из которых 90 человек –</w:t>
        <w:t xml:space="preserve"> инженерный персонал. Компетентность персонала подтверждена дипломами государственного образца,</w:t>
        <w:t xml:space="preserve"> сертификатами курсов повышения квалификации.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ООО «Ракурс-инжиниринг» имеет специализированный учебный центр, оснащенный необходимым для проведения</w:t>
        <w:t xml:space="preserve"> курса оборудованием, технической документацией, программным обеспечением, методическими материалами.</w:t>
        <w:t xml:space="preserve"> Рабочие места УКЦ оборудованы программируемыми логическими контроллерами и операторскими панелями</w:t>
        <w:t xml:space="preserve"> (Siemens, Omron).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2006 году компания ООО «Ракурс-инжиниринг» получила премию правительства Российской Федерации в области</w:t>
        <w:t xml:space="preserve"> качества. Соответствие системы менеджмента качества ООО «Ракурс-инжиниринг» международному стандарту ISO</w:t>
        <w:t xml:space="preserve"> 9001:2000 гарантирует Заказчику максимально полное и качественное выполнение поставленных задач. Решения</w:t>
        <w:t xml:space="preserve"> ООО «Ракурс-инжиниринг» сочетают в себе достоинства надёжной элементной базы и высококлассного</w:t>
        <w:t xml:space="preserve"> инжиниринга.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2016 году Компания ООО «Ракурс-инжиниринг» вошла в ТОП-30 «национальных чемпионов» приоритетного</w:t>
        <w:t xml:space="preserve"> проекта Минэкономразвития РФ «Поддержка частных высокотехнологических компаний–лидеров». Проект</w:t>
        <w:t xml:space="preserve"> подразумевает государственную поддержку быстрорастущих технологических и инновационно-ориентированных</w:t>
        <w:t xml:space="preserve"> компаний среднего бизнеса.</w:t>
      </w:r>
    </w:p>
    <w:p>
      <w:pPr>
        <w:pStyle w:val="Style24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Общая информация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данном документе представлено технико-коммерческое предложение на "".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Функциональный Заказчик (Пользователь): "".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Проектная организация: "".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Поставщик оборудования: ООО "Ракурс-инжиниринг", Санкт-Петербург, Россия.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Концепция построения АСУТП ГЭС в том числе АСУ ТП И АИСКУЭЭ основана на 26-летнем опыте компании ООО «Ракурс-инжиниринг» в области создания АСУТП и соответствует следующим нормативным и руководящим документам разработанным и применяемым в Российской Федерации: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ОРГРЭС «Общие технические требования к управляющим подсистемам агрегатного и станционного уровней АСУ ТП ГЭС», РД 153-34.0-35.519-98, 1999 г.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ОРГРЭС «Общие технические требования к ПТК для АСУ ТП ГЭС», РД 153-34.2-35.520-99, 1999 г.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Информационная технология. Комплекс стандартов и руководящих документов на автоматизированные системы. Техническое задание на создание автоматизированной системы ГОСТ 34.602-89.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Информационная технология. Комплекс стандартов и руководящих документов на автоматизированные системы. Автоматизированные системы. Термины и определения. ГОСТ 34.003-90.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«Правила технической эксплуатации электрических станций и сетей Российской федерации» (2003г.);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Приказ Минтруда России от 19.02.2016 N 74н о внесении изменений в Правила по охране труда при эксплуатации электроустановок, утвержденные приказом Минтруда России от 24 июля 2013 года №328н;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РД 153.34.0-03.301-00 Правила пожарной безопасности для энергетических предприятий.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ГОСТ 25861-83 Машины вычислительные и системы обработки данных. Требования электрической и механической безопасности и методы испытаний;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ГОСТ 12.1.030-81 Система стандартов безопасности труда. Электробезопасность, Защитное заземление. Зануление;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ГОСТ 12.1.010-76 ССБТ. Взрывобезопасность. Общие требования;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Сборник рекомендаций, методик об общих требованиях по обеспечению безопасности информации. Федеральная служба по техническому и экспортному контролю (ФСТЭК);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Регламент организации защиты технологических сегментов АСУ ТП ОАО «РусГидро»;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«Базовая модель угроз безопасности информации в ключевых системах информационной инфраструктуры» утверждена ФСТЭК 18.05.2007;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«Методика определения актуальных угроз безопасности информации в ключевых системах информационной инфраструктуры» утверждена ФСТЭК 18.05.2007;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«Общие требования по обеспечению безопасности информации в ключевых системах информационной инфраструктуры» утверждена ФСТЭК 18.05.2007;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«Рекомендации по обеспечению безопасности информации в ключевых системах информационной инфраструктуры» утверждена ФСТЭК 19.11.2007;</w:t>
        <w:t xml:space="preserve">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ind w:start="707" w:hanging="283"/>
        <w:rPr/>
      </w:pPr>
      <w:r>
        <w:rPr/>
        <w:t>СТО и регламентирующие документы ФСК ЕЭС России.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Краткая характеристика объекта автоматизации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</w:r>
    </w:p>
    <w:tbl>
      <w:tblPr>
        <w:tblW w:w="6887" w:type="dxa"/>
        <w:jc w:val="start"/>
        <w:tblInd w:w="0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66"/>
        <w:gridCol w:w="4921"/>
      </w:tblGrid>
      <w:tr>
        <w:trPr/>
        <w:tc>
          <w:tcPr>
            <w:tcW w:w="6887" w:type="dxa"/>
            <w:gridSpan w:val="2"/>
            <w:tcBorders/>
            <w:shd w:fill="4682B4" w:val="clear"/>
            <w:vAlign w:val="center"/>
          </w:tcPr>
          <w:p>
            <w:pPr>
              <w:pStyle w:val="Style18"/>
              <w:spacing w:before="0" w:after="28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Верхнебалкарская ГЭС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Страна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Россия</w:t>
            </w:r>
            <w:r>
              <w:rPr/>
              <w:drawing>
                <wp:inline distT="0" distB="0" distL="0" distR="0">
                  <wp:extent cx="228600" cy="161925"/>
                  <wp:effectExtent l="0" t="0" r="0" b="0"/>
                  <wp:docPr id="1" name="Изображение1" descr="" title="Flag of Russ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 title="Flag of Russ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hyperlink r:id="rId3">
              <w:r>
                <w:rPr>
                  <w:rStyle w:val="Style13"/>
                </w:rPr>
                <w:t>Россия</w:t>
              </w:r>
            </w:hyperlink>
            <w:r>
              <w:rPr/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Местоположение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Кабардино-Балкария</w:t>
            </w:r>
            <w:r>
              <w:rPr/>
              <w:drawing>
                <wp:inline distT="0" distB="0" distL="0" distR="0">
                  <wp:extent cx="228600" cy="161925"/>
                  <wp:effectExtent l="0" t="0" r="0" b="0"/>
                  <wp:docPr id="2" name="Изображение2" descr="" title="Flag of Kabardino-Balkaria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 title="Flag of Kabardino-Balkaria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hyperlink r:id="rId5">
              <w:r>
                <w:rPr>
                  <w:rStyle w:val="Style13"/>
                </w:rPr>
                <w:t>Кабардино-Балкария</w:t>
              </w:r>
            </w:hyperlink>
            <w:r>
              <w:rPr/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hyperlink r:id="rId6">
              <w:r>
                <w:rPr>
                  <w:rStyle w:val="Style13"/>
                </w:rPr>
                <w:t>Река</w:t>
              </w:r>
            </w:hyperlink>
            <w:r>
              <w:rPr/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</w:t>
            </w:r>
            <w:hyperlink r:id="rId7">
              <w:r>
                <w:rPr>
                  <w:rStyle w:val="Style13"/>
                </w:rPr>
                <w:t>Черек Балкарский</w:t>
              </w:r>
            </w:hyperlink>
            <w:r>
              <w:rPr/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Собственник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ПАО «</w:t>
            </w:r>
            <w:hyperlink r:id="rId8">
              <w:r>
                <w:rPr>
                  <w:rStyle w:val="Style13"/>
                </w:rPr>
                <w:t>РусГидро</w:t>
              </w:r>
            </w:hyperlink>
            <w:r>
              <w:rPr/>
              <w:t>»</w:t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Статус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строящаяся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Год начала строительства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2011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Годы ввода агрегатов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2018 (план)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6887" w:type="dxa"/>
            <w:gridSpan w:val="2"/>
            <w:tcBorders/>
            <w:shd w:fill="4682B4" w:val="clear"/>
            <w:vAlign w:val="center"/>
          </w:tcPr>
          <w:p>
            <w:pPr>
              <w:pStyle w:val="Style26"/>
              <w:spacing w:before="0" w:after="283"/>
              <w:jc w:val="center"/>
              <w:rPr>
                <w:color w:val="FFFFFF"/>
              </w:rPr>
            </w:pPr>
            <w:r>
              <w:rPr>
                <w:color w:val="FFFFFF"/>
              </w:rPr>
              <w:t>Основные характеристики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 xml:space="preserve">Годовая выработка электроэнергии, млн  </w:t>
            </w:r>
            <w:hyperlink r:id="rId9">
              <w:r>
                <w:rPr>
                  <w:rStyle w:val="Style13"/>
                </w:rPr>
                <w:t>кВт⋅ч</w:t>
              </w:r>
            </w:hyperlink>
            <w:r>
              <w:rPr/>
              <w:t xml:space="preserve"> 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60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Разновидность электростанции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деривационная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 xml:space="preserve">Расчётный </w:t>
            </w:r>
            <w:hyperlink r:id="rId10">
              <w:r>
                <w:rPr>
                  <w:rStyle w:val="Style13"/>
                </w:rPr>
                <w:t>напор</w:t>
              </w:r>
            </w:hyperlink>
            <w:r>
              <w:rPr/>
              <w:t>, м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125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 xml:space="preserve">Электрическая мощность, </w:t>
            </w:r>
            <w:hyperlink r:id="rId11">
              <w:r>
                <w:rPr>
                  <w:rStyle w:val="Style13"/>
                </w:rPr>
                <w:t>МВт</w:t>
              </w:r>
            </w:hyperlink>
            <w:r>
              <w:rPr/>
              <w:t xml:space="preserve"> 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10</w:t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6887" w:type="dxa"/>
            <w:gridSpan w:val="2"/>
            <w:tcBorders/>
            <w:shd w:fill="4682B4" w:val="clear"/>
            <w:vAlign w:val="center"/>
          </w:tcPr>
          <w:p>
            <w:pPr>
              <w:pStyle w:val="Style26"/>
              <w:spacing w:before="0" w:after="283"/>
              <w:jc w:val="center"/>
              <w:rPr>
                <w:color w:val="FFFFFF"/>
              </w:rPr>
            </w:pPr>
            <w:r>
              <w:rPr>
                <w:color w:val="FFFFFF"/>
              </w:rPr>
              <w:t>Характеристики оборудования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Тип турбин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</w:t>
            </w:r>
            <w:hyperlink r:id="rId12">
              <w:r>
                <w:rPr>
                  <w:rStyle w:val="Style13"/>
                </w:rPr>
                <w:t>радиально-осевые</w:t>
              </w:r>
            </w:hyperlink>
            <w:r>
              <w:rPr/>
              <w:t xml:space="preserve"> 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Количество и марка турбин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3×РО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Расход через турбины, м³/</w:t>
            </w:r>
            <w:hyperlink r:id="rId13">
              <w:r>
                <w:rPr>
                  <w:rStyle w:val="Style13"/>
                </w:rPr>
                <w:t>с</w:t>
              </w:r>
            </w:hyperlink>
            <w:r>
              <w:rPr/>
              <w:t xml:space="preserve"> 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3×3,33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Количество и марка генераторов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3×СГ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 xml:space="preserve">Мощность генераторов, </w:t>
            </w:r>
            <w:hyperlink r:id="rId14">
              <w:r>
                <w:rPr>
                  <w:rStyle w:val="Style13"/>
                </w:rPr>
                <w:t>МВт</w:t>
              </w:r>
            </w:hyperlink>
            <w:r>
              <w:rPr/>
              <w:t xml:space="preserve"> 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3×3,34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6887" w:type="dxa"/>
            <w:gridSpan w:val="2"/>
            <w:tcBorders/>
            <w:shd w:fill="4682B4" w:val="clear"/>
            <w:vAlign w:val="center"/>
          </w:tcPr>
          <w:p>
            <w:pPr>
              <w:pStyle w:val="Style26"/>
              <w:spacing w:before="0" w:after="283"/>
              <w:jc w:val="center"/>
              <w:rPr>
                <w:color w:val="FFFFFF"/>
              </w:rPr>
            </w:pPr>
            <w:r>
              <w:rPr>
                <w:color w:val="FFFFFF"/>
              </w:rPr>
              <w:t>Основные сооружения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Тип плотины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гравитационная бетонная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r>
              <w:rPr/>
              <w:t>Высота плотины, м</w:t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4,65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hyperlink r:id="rId15">
              <w:r>
                <w:rPr>
                  <w:rStyle w:val="Style13"/>
                </w:rPr>
                <w:t>Шлюз</w:t>
              </w:r>
            </w:hyperlink>
            <w:r>
              <w:rPr/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нет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1966" w:type="dxa"/>
            <w:tcBorders/>
            <w:shd w:fill="ADD8E6" w:val="clear"/>
            <w:vAlign w:val="center"/>
          </w:tcPr>
          <w:p>
            <w:pPr>
              <w:pStyle w:val="Style26"/>
              <w:suppressLineNumbers/>
              <w:spacing w:before="0" w:after="283"/>
              <w:jc w:val="center"/>
              <w:rPr/>
            </w:pPr>
            <w:hyperlink r:id="rId16">
              <w:r>
                <w:rPr>
                  <w:rStyle w:val="Style13"/>
                </w:rPr>
                <w:t>ОРУ</w:t>
              </w:r>
            </w:hyperlink>
            <w:r>
              <w:rPr/>
              <w:t xml:space="preserve"> </w:t>
            </w:r>
          </w:p>
        </w:tc>
        <w:tc>
          <w:tcPr>
            <w:tcW w:w="4921" w:type="dxa"/>
            <w:tcBorders/>
            <w:shd w:fill="auto" w:val="clear"/>
            <w:vAlign w:val="center"/>
          </w:tcPr>
          <w:p>
            <w:pPr>
              <w:pStyle w:val="Style18"/>
              <w:spacing w:before="0" w:after="283"/>
              <w:rPr/>
            </w:pPr>
            <w:r>
              <w:rPr/>
              <w:t xml:space="preserve"> 35 кВ</w:t>
              <w:t xml:space="preserve"> </w:t>
              <w:t xml:space="preserve"> </w:t>
              <w:t xml:space="preserve"> </w:t>
            </w:r>
          </w:p>
        </w:tc>
      </w:tr>
      <w:tr>
        <w:trPr/>
        <w:tc>
          <w:tcPr>
            <w:tcW w:w="6887" w:type="dxa"/>
            <w:gridSpan w:val="2"/>
            <w:tcBorders/>
            <w:shd w:fill="4682B4" w:val="clear"/>
            <w:vAlign w:val="center"/>
          </w:tcPr>
          <w:p>
            <w:pPr>
              <w:pStyle w:val="Style26"/>
              <w:spacing w:before="0" w:after="283"/>
              <w:jc w:val="center"/>
              <w:rPr>
                <w:color w:val="FFFFFF"/>
              </w:rPr>
            </w:pPr>
            <w:r>
              <w:rPr>
                <w:color w:val="FFFFFF"/>
              </w:rPr>
              <w:t>На карте</w:t>
              <w:t xml:space="preserve"> </w:t>
              <w:t xml:space="preserve"> </w:t>
            </w:r>
          </w:p>
        </w:tc>
      </w:tr>
      <w:tr>
        <w:trPr/>
        <w:tc>
          <w:tcPr>
            <w:tcW w:w="6887" w:type="dxa"/>
            <w:gridSpan w:val="2"/>
            <w:tcBorders/>
            <w:shd w:fill="auto" w:val="clear"/>
            <w:vAlign w:val="center"/>
          </w:tcPr>
          <w:p>
            <w:pPr>
              <w:pStyle w:val="Style18"/>
              <w:spacing w:before="0" w:after="0"/>
              <w:jc w:val="center"/>
              <w:rPr/>
            </w:pPr>
            <w:r>
              <w:rPr/>
              <w:t xml:space="preserve"> </w:t>
            </w:r>
            <w:r>
              <w:rPr/>
              <w:drawing>
                <wp:inline distT="0" distB="0" distL="0" distR="0">
                  <wp:extent cx="2876550" cy="2305050"/>
                  <wp:effectExtent l="0" t="0" r="0" b="0"/>
                  <wp:docPr id="3" name="Изображение3" descr="" title="Верхнебалкарская ГЭС (Кабардино-Балкария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 title="Верхнебалкарская ГЭС (Кабардино-Балкария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3050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8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8"/>
              <w:spacing w:before="0" w:after="0"/>
              <w:jc w:val="center"/>
              <w:rPr/>
            </w:pPr>
            <w:r>
              <w:rPr/>
              <w:t xml:space="preserve"> </w:t>
            </w:r>
          </w:p>
          <w:p>
            <w:pPr>
              <w:pStyle w:val="Style18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85725" cy="85725"/>
                  <wp:effectExtent l="0" t="0" r="0" b="0"/>
                  <wp:docPr id="4" name="Изображение4" descr="" title="Red p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 title="Red p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8"/>
              <w:spacing w:before="0" w:after="0"/>
              <w:jc w:val="center"/>
              <w:rPr/>
            </w:pPr>
            <w:r>
              <w:rPr/>
              <w:t xml:space="preserve"> </w:t>
            </w:r>
          </w:p>
          <w:p>
            <w:pPr>
              <w:pStyle w:val="Style18"/>
              <w:spacing w:before="0" w:after="0"/>
              <w:jc w:val="center"/>
              <w:rPr/>
            </w:pPr>
            <w:r>
              <w:rPr/>
            </w:r>
            <w:r>
              <w:rPr/>
              <w:t xml:space="preserve"> 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page">
                        <wp:posOffset>-1543050</wp:posOffset>
                      </wp:positionH>
                      <wp:positionV relativeFrom="line">
                        <wp:posOffset>635</wp:posOffset>
                      </wp:positionV>
                      <wp:extent cx="1485900" cy="323850"/>
                      <wp:effectExtent l="0" t="0" r="0" b="0"/>
                      <wp:wrapNone/>
                      <wp:docPr id="5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323850"/>
                              </a:xfrm>
                              <a:prstGeom prst="rect"/>
                            </wps:spPr>
                            <wps:txbx>
                              <w:txbxContent>
                                <w:p>
                                  <w:pPr>
                                    <w:pStyle w:val="Style24"/>
                                    <w:spacing w:before="0" w:after="283"/>
                                    <w:jc w:val="end"/>
                                    <w:rPr/>
                                  </w:pPr>
                                  <w:r>
                                    <w:rPr/>
                                    <w:t>Верхнебалкарская ГЭС</w:t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117pt;height:25.5pt;mso-wrap-distance-left:0pt;mso-wrap-distance-right:0pt;mso-wrap-distance-top:0pt;mso-wrap-distance-bottom:0pt;margin-top:0pt;mso-position-vertical:top;mso-position-vertical-relative:text;margin-left:-121.5pt;mso-position-horizontal-relative:page">
                      <v:textbox>
                        <w:txbxContent>
                          <w:p>
                            <w:pPr>
                              <w:pStyle w:val="Style24"/>
                              <w:spacing w:before="0" w:after="283"/>
                              <w:jc w:val="end"/>
                              <w:rPr/>
                            </w:pPr>
                            <w:r>
                              <w:rPr/>
                              <w:t>Верхнебалкарская ГЭС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Style18"/>
              <w:spacing w:before="0" w:after="0"/>
              <w:jc w:val="center"/>
              <w:rPr/>
            </w:pPr>
            <w:r>
              <w:rPr/>
              <w:t xml:space="preserve"> </w:t>
              <w:t xml:space="preserve"> </w:t>
            </w:r>
          </w:p>
        </w:tc>
      </w:tr>
    </w:tbl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>
          <w:b/>
        </w:rPr>
        <w:t>Верхнебалкарская гидроэлектроста́нция</w:t>
      </w:r>
      <w:r>
        <w:rPr/>
        <w:t xml:space="preserve"> — строящаяся малая </w:t>
      </w:r>
      <w:hyperlink r:id="rId19">
        <w:r>
          <w:rPr>
            <w:rStyle w:val="Style13"/>
          </w:rPr>
          <w:t>ГЭС</w:t>
        </w:r>
      </w:hyperlink>
      <w:r>
        <w:rPr/>
        <w:t xml:space="preserve"> на реке </w:t>
      </w:r>
      <w:hyperlink r:id="rId20">
        <w:r>
          <w:rPr>
            <w:rStyle w:val="Style13"/>
          </w:rPr>
          <w:t>Черек Балкарский</w:t>
        </w:r>
      </w:hyperlink>
      <w:r>
        <w:rPr/>
        <w:t xml:space="preserve">, у села </w:t>
      </w:r>
      <w:hyperlink r:id="rId21">
        <w:r>
          <w:rPr>
            <w:rStyle w:val="Style13"/>
          </w:rPr>
          <w:t>Верхняя Балкария</w:t>
        </w:r>
      </w:hyperlink>
      <w:r>
        <w:rPr/>
        <w:t xml:space="preserve"> Черекского района в Кабардино-Балкарии.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bidi w:val="0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2"/>
        <w:bidi w:val="0"/>
        <w:rPr>
          <w:lang w:val="ru-RU"/>
        </w:rPr>
      </w:pPr>
      <w:r>
        <w:rPr>
          <w:lang w:val="ru-RU"/>
        </w:rPr>
        <w:t>Содержание</w:t>
      </w:r>
    </w:p>
    <w:p>
      <w:pPr>
        <w:pStyle w:val="Style24"/>
        <w:bidi w:val="0"/>
        <w:spacing w:before="0" w:after="0"/>
        <w:rPr>
          <w:lang w:val="ru-RU"/>
        </w:rPr>
      </w:pPr>
      <w:r>
        <w:rPr>
          <w:lang w:val="ru-RU"/>
        </w:rPr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hyperlink w:anchor="%D0%9A%D0%BE%D0%BD%D1%81%D1%82%D1%80%D1%83%D0%BA%D1%86%D0%B8%D1%8F_%D1%81%D1%82%D0%B0%D0%BD%D1%86%D0%B8%D0%B8">
        <w:r>
          <w:rPr>
            <w:rStyle w:val="Style13"/>
          </w:rPr>
          <w:t>1 Конструкция станции</w:t>
        </w:r>
      </w:hyperlink>
      <w:r>
        <w:rPr/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hyperlink w:anchor="%D0%98%D1%81%D1%82%D0%BE%D1%80%D0%B8%D1%8F_%D1%81%D1%82%D1%80%D0%BE%D0%B8%D1%82%D0%B5%D0%BB%D1%8C%D1%81%D1%82%D0%B2%D0%B0">
        <w:r>
          <w:rPr>
            <w:rStyle w:val="Style13"/>
          </w:rPr>
          <w:t>2 История строительства</w:t>
        </w:r>
      </w:hyperlink>
      <w:r>
        <w:rPr/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hyperlink w:anchor="%D0%9F%D1%80%D0%B8%D0%BC%D0%B5%D1%87%D0%B0%D0%BD%D0%B8%D1%8F">
        <w:r>
          <w:rPr>
            <w:rStyle w:val="Style13"/>
          </w:rPr>
          <w:t>3 Примечания</w:t>
        </w:r>
      </w:hyperlink>
      <w:r>
        <w:rPr/>
        <w:t xml:space="preserve">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ind w:start="707" w:hanging="283"/>
        <w:rPr/>
      </w:pPr>
      <w:hyperlink w:anchor="%D0%A1%D1%81%D1%8B%D0%BB%D0%BA%D0%B8">
        <w:r>
          <w:rPr>
            <w:rStyle w:val="Style13"/>
          </w:rPr>
          <w:t>4 Ссылки</w:t>
        </w:r>
      </w:hyperlink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sectPr>
          <w:type w:val="continuous"/>
          <w:pgSz w:w="11906" w:h="16838"/>
          <w:pgMar w:left="1134" w:right="567" w:header="0" w:top="567" w:footer="0" w:bottom="567" w:gutter="0"/>
          <w:formProt w:val="false"/>
          <w:textDirection w:val="lrTb"/>
          <w:docGrid w:type="default" w:linePitch="600" w:charSpace="32768"/>
        </w:sectPr>
      </w:pP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2"/>
        <w:rPr/>
      </w:pPr>
      <w:r>
        <w:rPr/>
        <w:t xml:space="preserve"> </w:t>
      </w:r>
      <w:bookmarkStart w:id="1" w:name=".D0.9A.D0.BE.D0.BD.D1.81.D1.82.D1.80.D1."/>
      <w:bookmarkStart w:id="2" w:name="%D0%9A%D0%BE%D0%BD%D1%81%D1%82%D1%80%D1%"/>
      <w:bookmarkEnd w:id="1"/>
      <w:bookmarkEnd w:id="2"/>
      <w:r>
        <w:rPr/>
        <w:t>Конструкция станции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Конструктивно Верхнебалкарская ГЭС представляет собой типичную деривационную электростанцию с подводящей деривацией. Длина безнапорного участка деривации — 2350 м, напорного — 1150 м.</w:t>
        <w:t xml:space="preserve"> Установленная мощность ГЭС — 10 МВт, среднегодовая выработка электроэнергии — 60 млн кВт.ч.</w:t>
        <w:t xml:space="preserve"> Состав сооружений ГЭС: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бетонная плотина с автоматическим водосливом, высотой 4,65 м;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водозаборное сооружение;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безнапорный деривационный тоннель № 1;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четырехкамерный отстойник с промывной галереей;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холостой водосброс в виде бокового водослива с быстротоком;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безнапорный деривационный лоток шириной по дну 4,6 м и высотой 4,8 м;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безнапорный деривационный тоннель № 2 длиной 1300 м;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аванкамера;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напорный трубопровод длиной 1150 м и диаметром 2,02 м;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здание ГЭС;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отводящий канал;</w:t>
        <w:t xml:space="preserve"> </w:t>
      </w:r>
    </w:p>
    <w:p>
      <w:pPr>
        <w:pStyle w:val="Style24"/>
        <w:numPr>
          <w:ilvl w:val="0"/>
          <w:numId w:val="4"/>
        </w:numPr>
        <w:tabs>
          <w:tab w:val="left" w:pos="0" w:leader="none"/>
        </w:tabs>
        <w:ind w:start="707" w:hanging="283"/>
        <w:rPr/>
      </w:pPr>
      <w:r>
        <w:rPr/>
        <w:t>ОРУ 35 кВ.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здании ГЭС должны быть размещены три горизонтальных гидроагрегата мощностью по 3,34 МВт, с радиально-осевыми турбинами, работающими на расчетном напоре 125 м.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 xml:space="preserve"> </w:t>
      </w:r>
      <w:bookmarkStart w:id="3" w:name=".D0.98.D1.81.D1.82.D0.BE.D1.80.D0.B8.D1."/>
      <w:bookmarkStart w:id="4" w:name="%D0%98%D1%81%D1%82%D0%BE%D1%80%D0%B8%D1%"/>
      <w:bookmarkEnd w:id="3"/>
      <w:bookmarkEnd w:id="4"/>
      <w:r>
        <w:rPr/>
        <w:t>История строительства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Проектные проработки возможности строительства Верхнебалкарской ГЭС велись как минимум с 2007 года, к 2009 году был подготовлен проект станции мощностью 14,8 МВт и среднемноголетней выработкой электроэнергии 76 млн кВт.ч, с деривацией в виде трубопровода</w:t>
      </w:r>
      <w:hyperlink w:anchor="cite_note-1">
        <w:bookmarkStart w:id="5" w:name="cite_ref-1"/>
        <w:bookmarkEnd w:id="5"/>
        <w:r>
          <w:rPr>
            <w:rStyle w:val="Style13"/>
          </w:rPr>
          <w:t>[1]</w:t>
        </w:r>
      </w:hyperlink>
      <w:r>
        <w:rPr/>
        <w:t>. В 2011 году проект станции был переработан, ее мощность была увеличена до 29,6 МВт, выработка электроэнергии - до 134 млн кВт.ч. В том же году начато строительство станции, которое в 2012 году было остановлено, а уже построенный задел по сооружениям головного узла - законсервирован. В 2017 году проект станции был снова переработан со снижением мощности до 10 МВт, строительство было возобновлено. Пуск Верхнебалкарской ГЭС намечен на конец 2018 года</w:t>
      </w:r>
      <w:hyperlink w:anchor="cite_note-2">
        <w:bookmarkStart w:id="6" w:name="cite_ref-2"/>
        <w:bookmarkEnd w:id="6"/>
        <w:r>
          <w:rPr>
            <w:rStyle w:val="Style13"/>
          </w:rPr>
          <w:t>[2]</w:t>
        </w:r>
      </w:hyperlink>
      <w:r>
        <w:rPr/>
        <w:t>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 xml:space="preserve"> </w:t>
      </w:r>
      <w:bookmarkStart w:id="7" w:name=".D0.9F.D1.80.D0.B8.D0.BC.D0.B5.D1.87.D0."/>
      <w:bookmarkStart w:id="8" w:name="%D0%9F%D1%80%D0%B8%D0%BC%D0%B5%D1%87%D0%"/>
      <w:bookmarkEnd w:id="7"/>
      <w:bookmarkEnd w:id="8"/>
      <w:r>
        <w:rPr/>
        <w:t>Примечания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spacing w:before="0" w:after="0"/>
        <w:ind w:start="707" w:hanging="283"/>
        <w:rPr/>
      </w:pPr>
      <w:bookmarkStart w:id="9" w:name="cite_note-1"/>
      <w:bookmarkEnd w:id="9"/>
      <w:r>
        <w:rPr/>
        <w:t xml:space="preserve"> </w:t>
      </w:r>
      <w:hyperlink w:anchor="cite_ref-1">
        <w:r>
          <w:rPr>
            <w:rStyle w:val="Style13"/>
          </w:rPr>
          <w:t>↑</w:t>
        </w:r>
      </w:hyperlink>
      <w:r>
        <w:rPr/>
        <w:t xml:space="preserve"> </w:t>
      </w:r>
      <w:r>
        <w:rPr>
          <w:i/>
        </w:rPr>
        <w:t>Рубин А.Д., Батранюк Г.Н., Кульбаев А.В., Волшаник В.В.</w:t>
      </w:r>
      <w:r>
        <w:rPr/>
        <w:t xml:space="preserve"> Водозаборный узел Верхнебалкарской ГЭС: проектные решения и охрана окружающей среды // Вестник МГСУ. — 2009. — № 1. — С. 172-176.</w:t>
        <w:t xml:space="preserve"> </w:t>
        <w:t xml:space="preserve"> </w:t>
      </w:r>
    </w:p>
    <w:p>
      <w:pPr>
        <w:pStyle w:val="Style24"/>
        <w:numPr>
          <w:ilvl w:val="0"/>
          <w:numId w:val="5"/>
        </w:numPr>
        <w:tabs>
          <w:tab w:val="left" w:pos="0" w:leader="none"/>
        </w:tabs>
        <w:ind w:start="707" w:hanging="283"/>
        <w:rPr/>
      </w:pPr>
      <w:bookmarkStart w:id="10" w:name="cite_note-2"/>
      <w:bookmarkEnd w:id="10"/>
      <w:r>
        <w:rPr/>
        <w:t xml:space="preserve"> </w:t>
      </w:r>
      <w:hyperlink w:anchor="cite_ref-2">
        <w:r>
          <w:rPr>
            <w:rStyle w:val="Style13"/>
          </w:rPr>
          <w:t>↑</w:t>
        </w:r>
      </w:hyperlink>
      <w:r>
        <w:rPr/>
        <w:t xml:space="preserve"> </w:t>
      </w:r>
      <w:hyperlink r:id="rId22">
        <w:r>
          <w:rPr>
            <w:rStyle w:val="Style13"/>
          </w:rPr>
          <w:t>На Верхнебалкарской малой ГЭС начато строительство второго деривационного тоннеля</w:t>
        </w:r>
      </w:hyperlink>
      <w:r>
        <w:rPr/>
        <w:t xml:space="preserve">. ПАО «РусГидро». </w:t>
      </w:r>
      <w:r>
        <w:rPr>
          <w:sz w:val="20"/>
        </w:rPr>
        <w:t>Проверено 18 марта 2018.</w:t>
      </w:r>
      <w:r>
        <w:rPr/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 xml:space="preserve"> </w:t>
      </w:r>
      <w:bookmarkStart w:id="11" w:name=".D0.A1.D1.81.D1.8B.D0.BB.D0.BA.D0.B8"/>
      <w:bookmarkStart w:id="12" w:name="%D0%A1%D1%81%D1%8B%D0%BB%D0%BA%D0%B8"/>
      <w:bookmarkEnd w:id="11"/>
      <w:bookmarkEnd w:id="12"/>
      <w:r>
        <w:rPr/>
        <w:t>Ссылки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6"/>
        </w:numPr>
        <w:tabs>
          <w:tab w:val="left" w:pos="0" w:leader="none"/>
        </w:tabs>
        <w:ind w:start="707" w:hanging="283"/>
        <w:rPr/>
      </w:pPr>
      <w:hyperlink r:id="rId23">
        <w:r>
          <w:rPr>
            <w:rStyle w:val="Style13"/>
          </w:rPr>
          <w:t>На Верхнебалкарской малой ГЭС начато строительство второго деривационного тоннеля</w:t>
        </w:r>
      </w:hyperlink>
      <w:r>
        <w:rPr/>
        <w:t xml:space="preserve">. ПАО «РусГидро». </w:t>
      </w:r>
      <w:r>
        <w:rPr>
          <w:sz w:val="20"/>
        </w:rPr>
        <w:t>Проверено 18 марта 2018.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commentReference w:id="0"/>
      </w:r>
      <w:r>
        <w:rPr/>
        <w:t xml:space="preserve"> </w:t>
      </w:r>
      <w:r>
        <w:rPr/>
        <w:commentReference w:id="1"/>
      </w:r>
      <w:r>
        <w:rPr/>
        <w:t xml:space="preserve"> </w:t>
        <w:t xml:space="preserve"> </w:t>
      </w:r>
    </w:p>
    <w:p>
      <w:pPr>
        <w:pStyle w:val="Style24"/>
        <w:rPr/>
      </w:pPr>
      <w:r>
        <w:rPr/>
      </w:r>
      <w:r>
        <w:rPr/>
        <w:commentReference w:id="2"/>
      </w:r>
      <w:r>
        <w:rPr/>
        <w:t xml:space="preserve"> </w:t>
        <w:t xml:space="preserve"> </w:t>
        <w:t xml:space="preserve"> </w:t>
        <w:t xml:space="preserve"> </w:t>
        <w:t xml:space="preserve"> </w:t>
        <w:t xml:space="preserve"> </w:t>
      </w:r>
    </w:p>
    <w:p>
      <w:pPr>
        <w:pStyle w:val="1"/>
        <w:rPr/>
      </w:pPr>
      <w:r>
        <w:rPr/>
        <w:t>Комбинаторный механизм поворотнолопастных турбин, параметризованный сигналом эл. мощности (</w:t>
      </w:r>
      <w:r>
        <w:rPr>
          <w:i/>
        </w:rPr>
        <w:t>P</w:t>
      </w:r>
      <w:r>
        <w:rPr/>
        <w:t>-комбинатор)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Напор нетто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Для турбомашины любой конструкции актуальной проблемой является минимизация потери, связанной с выходной</w:t>
        <w:t xml:space="preserve"> скоростью. Если для высоконапорных машин доля этой потери относительно невелика, то для низконапорного ГА,</w:t>
        <w:t xml:space="preserve"> пропускающего большие расходы воды и работающего при изменяющемся в широких пределах низком напоре, организация</w:t>
        <w:t xml:space="preserve"> потока в проточной части имеет первостепенное значение для достижения высокой экономичности. Высокая</w:t>
        <w:t xml:space="preserve"> экономичность таких ГА обеспечивается применением поворотнолопастных гидротурбин, в которых требуемая для того</w:t>
        <w:t xml:space="preserve"> или иного режима геометрия проточной части организуется согласованным изменением углов установки лопаток</w:t>
        <w:t xml:space="preserve"> направляющего аппарата и лопастей рабочего колеса — комбинаторным механизмом.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Комбинаторный механизм, несмотря на простоту выполняемой функции, требует к себе повышенного внимания, так как от</w:t>
        <w:t xml:space="preserve"> него зависят коэффициент полезного действия турбины и техническое состояние агрегата. Хорошо известны</w:t>
        <w:t xml:space="preserve"> недостатки, присущие классическим комбинаторным механизмам, формирующим величину угла разворота лопастей</w:t>
        <w:t xml:space="preserve"> рабочего колеса по значениям открытия направляющего аппарата и напора нетто агрегата (см. рис.). Ведь согласно</w:t>
        <w:t xml:space="preserve"> определению, напор нетто является разностью полных удельных энергий воды на входе и выходе гидротурбины. Эту</w:t>
        <w:t xml:space="preserve"> величину не только невозможно получить напрямую, но и для этого требуется множество сложных измерений во время</w:t>
        <w:t xml:space="preserve"> всего периода эксплутации.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Классические комбинаторные зависимости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  <w:t xml:space="preserve"> </w:t>
      </w:r>
    </w:p>
    <w:p>
      <w:pPr>
        <w:pStyle w:val="Style24"/>
        <w:rPr/>
      </w:pPr>
      <w:r>
        <w:rPr/>
        <w:t>К недостаткам комбинаторных механизмов, использующих сигнал напора нетто, можно отнести также сложность методик</w:t>
        <w:t xml:space="preserve"> идентификации закладываемых в них комбинаторных зависимостей в натурном эксперименте. Это и необходимость</w:t>
        <w:t xml:space="preserve"> ожидания подходящего значения действующего напора, и сложность измерения расхода, и большая вероятность ошибки в</w:t>
        <w:t xml:space="preserve"> определении связи между статическим напором ГЭС и напором нетто агрегата.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Измерение величины напора-нетто невозможно вести с высокой точностью, а, следовательно, и ошибка классического</w:t>
        <w:t xml:space="preserve"> комбинаторного механизма может приводить к потерям к. п. д. (величины потерь можно точнее оценить по</w:t>
        <w:t xml:space="preserve"> характеристикам гидротурбины, режиме работы и напора гидроустановки).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i/>
        </w:rPr>
      </w:pPr>
      <w:r>
        <w:rPr>
          <w:i/>
        </w:rPr>
        <w:t>Можно утверждать, что классический комбинатор устарел и не использует современные вычислительные мощности для</w:t>
        <w:t xml:space="preserve"> повышения энергоэффективности. Разработанный для механических регуляторов еще в начале 20 века подход до сих пор</w:t>
        <w:t xml:space="preserve"> используется и не был переработан, несмотря на свои существенные недостатки.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Использование величины мощности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Включение в число параметров, позволяющих правильно выбрать взаимное положение регулирующих органов, сигнала</w:t>
        <w:t xml:space="preserve"> мощности позволяет избежать ошибок в измерении напора нетто. Величина мощности, развиваемой турбиной, в отличие</w:t>
        <w:t xml:space="preserve"> от напора нетто оказывает влияние на режим работы значительно большего числа факторов. Величина мощности</w:t>
        <w:t xml:space="preserve"> является интегральным показателем параметров режима: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напора нетто, как разности полных удельных энергий воды на входе и на выходе из турбины;</w:t>
        <w:t xml:space="preserve"> </w:t>
      </w:r>
    </w:p>
    <w:p>
      <w:pPr>
        <w:pStyle w:val="Style24"/>
        <w:numPr>
          <w:ilvl w:val="0"/>
          <w:numId w:val="7"/>
        </w:numPr>
        <w:tabs>
          <w:tab w:val="left" w:pos="0" w:leader="none"/>
        </w:tabs>
        <w:ind w:start="707" w:hanging="283"/>
        <w:rPr/>
      </w:pPr>
      <w:r>
        <w:rPr/>
        <w:t>расхода, зависящего от напора нетто и взаимного положения регулирующих органов.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Определение механической мощности из электрической мощности в нормальном эксплуатационном режиме трудности не</w:t>
        <w:t xml:space="preserve"> составляет. Но нельзя просто начать использовать величину мощности вместо напора нетто. В настоящее время</w:t>
        <w:t xml:space="preserve"> вычислительные ресурсы позволяют применить новые идеи, до этого неосуществимые на мехаинческой и аналоговой</w:t>
        <w:t xml:space="preserve"> вычислительной базе, используемой в прошлом.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Комбинатор по мощности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Комбинаторная зависимость строится совокупностью точек при различных напорах, где режим работы комбинаторный.</w:t>
        <w:t xml:space="preserve"> Если добавить для каждой из этих точек величину мощности, развиваемую на тот момент, можно построить новую</w:t>
        <w:t xml:space="preserve"> функцию в тех же координатах (открытие НА, разворот РК) — значения комбинаторной мощности. Соединив точки</w:t>
        <w:t xml:space="preserve"> с одинаковыми значениями мощности на комбинаторных зависимостях для разных напоров, получим комбинаторные</w:t>
        <w:t xml:space="preserve"> зависимости, параметризованные величиной мощности. Можно строго доказать, что данная функция непрерывная и</w:t>
        <w:t xml:space="preserve"> монотонна. На рисунке представлены два семейства графиков комбинаторных зависимостей наложенных друг на друга:</w:t>
        <w:t xml:space="preserve"> параметризованных напором (красными пунктирными линиями) и параметризированных мощностью (черные сплошные</w:t>
        <w:t xml:space="preserve"> линии).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Используемые комбинаторные зависимости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Можно строго доказать, что во время эксплуатации в любой момент времени для заданной мощности найдётся лишь одна</w:t>
        <w:t xml:space="preserve"> пара таких положений сервомоторов НА и РК, где текущяя мощность совпадет с мощностью из комбинаторной</w:t>
        <w:t xml:space="preserve"> зависимостью, и </w:t>
      </w:r>
      <w:r>
        <w:rPr>
          <w:b/>
        </w:rPr>
        <w:t>эта точка будет комбинаторной</w:t>
      </w:r>
      <w:r>
        <w:rPr/>
        <w:t>. Иными словами нужно найти такое положение сервомотора НА,</w:t>
        <w:t xml:space="preserve"> при котором соответствующее ему положение сервомотора РК (по классической зависимости) на выбранной изолинии</w:t>
        <w:t xml:space="preserve"> комбинаторной мощности Pk=Pзаданное обеспечит достижение турбиной мощности Pзаданное. Такой комбинаторный</w:t>
        <w:t xml:space="preserve"> механизм становится комбинатором по мощности, или </w:t>
      </w:r>
      <w:r>
        <w:rPr>
          <w:i/>
        </w:rPr>
        <w:t>P</w:t>
      </w:r>
      <w:r>
        <w:rPr/>
        <w:t>-комбинатор. Регулятор отходит от необходимости</w:t>
        <w:t xml:space="preserve"> получать напор нетто извне, а определяет его самостоятельно через обратное преобразование.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Важно, что комбинаторный механизм, входящий в систему регулирования, должен иметь высокие динамические</w:t>
        <w:t xml:space="preserve"> характеристики. Предлагаемое решение</w:t>
        <w:t xml:space="preserve"> интегрировано в регулятор мощности, позволяя исполнять задание мощности не просто не хуже стандартном</w:t>
        <w:t xml:space="preserve"> ПИ-регулятора, но и быстрее за счет использования структуры типа "feed-forward".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Закладываемые характеристики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Также, как и классическому комбинаторному механизму, P-комбинатору требуются исходные данные для параметризации.</w:t>
        <w:t xml:space="preserve"> Существующие методы обладают множеством недостатков в связи с неточностью измерений.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Завод-изготовитель гидротурбины предоставляет комбинаторную зависимость в классическом виде, но её</w:t>
        <w:t xml:space="preserve"> недостаточно:необходимо знание величины мощности в каждой из точек. Однако у завода-изготовителя есть все</w:t>
        <w:t xml:space="preserve"> данные, чтобы предоставлять их в полном виде. Другим классическим вариантом является проведение энергетических</w:t>
        <w:t xml:space="preserve"> испытаний (с измерением расхода абсолютным методом) — это требует привлечение сторонней организации и</w:t>
        <w:t xml:space="preserve"> фактический вывод агрегата из нормальной работы.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первом случае, для турбин, эксплуатируемых долгое время, отклонение от модели может быть значительно или</w:t>
        <w:t xml:space="preserve"> характеристика вовсе утерена в архивах. Для второго случая, задача измерения расхода слишком дорога, а в случае</w:t>
        <w:t xml:space="preserve"> ГЭС руслового типа (без длинного прямого водовода) сложна и недостаточно точна.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Линии равной мощности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Предлагается рассмотреть новый метод, не требующий измерения расхода и подходящий только для </w:t>
      </w:r>
      <w:r>
        <w:rPr>
          <w:i/>
        </w:rPr>
        <w:t>P</w:t>
      </w:r>
      <w:r>
        <w:rPr/>
        <w:t>-комбинатора.</w:t>
        <w:t xml:space="preserve"> Это собственный метод постоянной мощности, основанный на фундаментальном свойстве поворотнолопастных</w:t>
        <w:t xml:space="preserve"> гидротурбин: достижении одной и той же мощности за счет разного соотношения открытия НА и разворота лопастей РК</w:t>
        <w:t xml:space="preserve"> (см. рис). Лишь одна точка на линии для текущего режима является комбинаторной,а метод осуществляет её поиск. В</w:t>
        <w:t xml:space="preserve"> основе лежит специальный способ извлечения информации, заложенной в форму изолинии. Методология выведена</w:t>
        <w:t xml:space="preserve"> математически и проверена в ходе вычислительного эксперимент на значимом числе цифровых моделей гидроагрегатах,</w:t>
        <w:t xml:space="preserve"> а также в ходе серии натурных испытаний на Новосибирской ГЭС совместно с НПО ЦКТИ. Эксперименты показали ошибку</w:t>
        <w:t xml:space="preserve"> </w:t>
      </w:r>
      <w:r>
        <w:rPr>
          <w:b/>
        </w:rPr>
        <w:t>не более 0,1% по к. п. д.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Актуальным является не только соблюдение комбинаторных зависимостей, но и контроль их изменения во времени из-за</w:t>
        <w:t xml:space="preserve"> износа проточной части турбин при эксплуатации. Поэтому необходимо располагать средствами по оперативной ее</w:t>
        <w:t xml:space="preserve"> идентификации. Важно, что метод автоматизирован и может быть использован эксплуатационным персоналом без</w:t>
        <w:t xml:space="preserve"> изменения режима ГЭС и без участия сторонних организаций и проведения специальных испытаний в течении всего</w:t>
        <w:t xml:space="preserve"> срока эксплуатации гидротурбины.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Таким образом, предлагаемое решение инвариантно относительно наличия модельных и актуальных эксплуатационных</w:t>
        <w:t xml:space="preserve"> характеристик.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Преимущества решения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Преимуществами комбинаторного механизма, использующего сигнал мощности являются: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высокая точность формирования комбинаторной зависимости — максимальная эффективность для режима работы</w:t>
        <w:t xml:space="preserve"> ГА</w:t>
        <w:t xml:space="preserve"> 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исключительная простота реализации для режима работы на мощную энергосистему;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сохранение дианмических характеристик с сохранением возможности участия в АВРЧМ и НПРЧ;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регулятор мощности типа «feed-forward» с предрасчетом положения регулирующих органов (особенно с учетом</w:t>
        <w:t xml:space="preserve"> нелинейности моментных и расходных характеристик)</w:t>
        <w:t xml:space="preserve"> 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безопасное и надежное отключение в ненормальных режимах;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определение напора нетто гидротурбины;</w:t>
        <w:t xml:space="preserve"> </w:t>
      </w:r>
    </w:p>
    <w:p>
      <w:pPr>
        <w:pStyle w:val="Style24"/>
        <w:numPr>
          <w:ilvl w:val="0"/>
          <w:numId w:val="8"/>
        </w:numPr>
        <w:tabs>
          <w:tab w:val="left" w:pos="0" w:leader="none"/>
        </w:tabs>
        <w:ind w:start="707" w:hanging="283"/>
        <w:rPr/>
      </w:pPr>
      <w:r>
        <w:rPr/>
        <w:t>уточнение комбинаторных зависимостей в течение всего срока эксплуатации без привлечения дорогостоящих</w:t>
        <w:t xml:space="preserve"> специализированных организаций.</w:t>
        <w:t xml:space="preserve"> </w:t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b/>
        </w:rPr>
      </w:pPr>
      <w:r>
        <w:rPr>
          <w:b/>
        </w:rPr>
        <w:t>Метод уже апробирован на серии натурных испытаниях и готов к промышленному применению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течение 2015 года на агрегате №6 Новосибирской ГЭС специалистами компании «Ракурс-инжиниринг» выполнялись</w:t>
        <w:t xml:space="preserve"> экспериментальные исследования с целью проверки и доведения алгоритмов идентификации комбинаторного режима и</w:t>
        <w:t xml:space="preserve"> наладка работы комбинаторного механизма, использующего для точной настройки сигнал мощности. В процессе</w:t>
        <w:t xml:space="preserve"> испытаний была определена окончательная методика нахождений комбинаторной зависимости собственным методом</w:t>
        <w:t xml:space="preserve"> постоянной мощности в режиме полуавтоматического выполнения поискового движения.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9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>Переходный процесс по мощности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2016 году на агрегате №4 Шульбинской ГЭС проводились экспериментальные исследования метода идентификации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/>
      </w:pPr>
      <w:r>
        <w:rPr/>
        <w:t>В 2016 и 2017 г. вышеуказанный регулятор прошел натурные испытания на модернизированных ГА ст. №3,4 Новосибирской</w:t>
        <w:t xml:space="preserve"> ГЭС. Результаты подтвердили, что регулятор корректно решает поставленные перед ним задачи.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rPr>
          <w:b/>
        </w:rPr>
      </w:pPr>
      <w:r>
        <w:rPr>
          <w:b/>
        </w:rPr>
        <w:t>Научно-исследовательские и экспериментальные работы, выполненные компанией «Ракурс-инжиниринг» в процессе</w:t>
        <w:t xml:space="preserve"> модернизации агрегатных систем управления Новосибирской ГЭС позволяют реализовать современное решение регулятора</w:t>
        <w:t xml:space="preserve"> мощности поворотнолопастной гидротурбины с корректором комбинаторной зависимости по мощности, а также обеспечить</w:t>
        <w:t xml:space="preserve"> поддержку высокой эффективности предложенного решения экспресс контролем комбинаторных зависимостей, выполняемым</w:t>
        <w:t xml:space="preserve"> с использованием аппаратных и программных средств штатных ПТК ЭГР.</w:t>
      </w:r>
    </w:p>
    <w:p>
      <w:pPr>
        <w:pStyle w:val="Style24"/>
        <w:rPr/>
      </w:pPr>
      <w:r>
        <w:rPr/>
        <w:t xml:space="preserve"> </w:t>
      </w:r>
    </w:p>
    <w:p>
      <w:pPr>
        <w:pStyle w:val="2"/>
        <w:rPr/>
      </w:pPr>
      <w:r>
        <w:rPr/>
        <w:t>Награды</w:t>
      </w:r>
    </w:p>
    <w:p>
      <w:pPr>
        <w:pStyle w:val="Style24"/>
        <w:rPr/>
      </w:pPr>
      <w:r>
        <w:rPr/>
        <w:t xml:space="preserve"> </w:t>
      </w:r>
    </w:p>
    <w:p>
      <w:pPr>
        <w:pStyle w:val="Style24"/>
        <w:numPr>
          <w:ilvl w:val="0"/>
          <w:numId w:val="0"/>
        </w:numPr>
        <w:spacing w:before="0" w:after="0"/>
        <w:ind w:start="707" w:hanging="0"/>
        <w:rPr/>
      </w:pPr>
      <w:r>
        <w:rPr/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Лучшая научно-исследовательская работа в области гидро\нергетики в 2016 г. (ПАО "РусГидро)</w:t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Первое место среди потенциальных научных проектов AES Казахстан в 2017 г.</w:t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Russian Startup Tour 2015. 3 место в треке «Энергоэффективность и энергосбережение, разработка инновационных</w:t>
        <w:t xml:space="preserve"> энергетических технологий».</w:t>
        <w:t xml:space="preserve"> </w:t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>Вторая Всероссийская научно-практическая конференция молодых ученых, специалистов, аспирантов и студентов</w:t>
        <w:t xml:space="preserve"> «ГИДРОЭЛЕКТРОСТАНЦИИ В XXI веке». 1 место в секции «Модернизация и реконструкция ГЭС».</w:t>
        <w:t xml:space="preserve"> </w:t>
        <w:t xml:space="preserve"> </w:t>
      </w:r>
    </w:p>
    <w:p>
      <w:pPr>
        <w:pStyle w:val="Style24"/>
        <w:numPr>
          <w:ilvl w:val="0"/>
          <w:numId w:val="9"/>
        </w:numPr>
        <w:tabs>
          <w:tab w:val="left" w:pos="0" w:leader="none"/>
        </w:tabs>
        <w:ind w:start="707" w:hanging="283"/>
        <w:rPr/>
      </w:pPr>
      <w:r>
        <w:rPr/>
        <w:t>Конкурс лучших инновационных проектов в сфере науки и высшего проффесионального образования Санкт-Петербурга</w:t>
        <w:t xml:space="preserve"> в 2015 году. Лауреат премии «Лучший инновационный продукт».</w:t>
        <w:t xml:space="preserve"> </w:t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  <w:r>
        <w:rPr/>
        <w:drawing>
          <wp:inline distT="0" distB="0" distL="0" distR="0">
            <wp:extent cx="718820" cy="359410"/>
            <wp:effectExtent l="0" t="0" r="0" b="0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</w:r>
    </w:p>
    <w:p>
      <w:pPr>
        <w:pStyle w:val="Style24"/>
        <w:spacing w:before="0" w:after="0"/>
        <w:rPr/>
      </w:pPr>
      <w:r>
        <w:rPr/>
        <w:t xml:space="preserve"> </w:t>
        <w:t xml:space="preserve"> </w:t>
        <w:t xml:space="preserve"> </w:t>
        <w:t xml:space="preserve"> </w:t>
        <w:t xml:space="preserve"> </w:t>
      </w:r>
    </w:p>
    <w:sectPr>
      <w:type w:val="continuous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08-23T21:38:05Z" w:initials="">
    <w:p>
      <w:r>
        <w:t>&lt;!-- NewPP limit report</w:t>
        <w:t>Parsed by mw1253</w:t>
        <w:t>Cached time: 20180822175609</w:t>
        <w:t>Cache expiry: 1900800</w:t>
        <w:t>Dynamic content: false</w:t>
        <w:t>CPU time usage: 0.348 seconds</w:t>
        <w:t>Real time usage: 0.432 seconds</w:t>
        <w:t>Preprocessor visited node count: 4002/1000000</w:t>
        <w:t>Preprocessor generated node count: 0/1500000</w:t>
        <w:t>Post‐expand include size: 48154/2097152 bytes</w:t>
        <w:t>Template argument size: 9720/2097152 bytes</w:t>
        <w:t>Highest expansion depth: 23/40</w:t>
        <w:t>Expensive parser function count: 9/500</w:t>
        <w:t>Unstrip recursion depth: 0/20</w:t>
        <w:t>Unstrip post‐expand size: 1692/5000000 bytes</w:t>
        <w:t>Number of Wikibase entities loaded: 7/400</w:t>
        <w:t>Lua time usage: 0.170/10.000 seconds</w:t>
        <w:t>Lua memory usage: 3.85 MB/50 MB</w:t>
        <w:t>--&gt;</w:t>
      </w:r>
    </w:p>
  </w:comment>
  <w:comment w:id="1" w:author="" w:date="2018-08-23T21:38:05Z" w:initials="">
    <w:p>
      <w:r>
        <w:t>&lt;!-- Transclusion expansion time report (%,ms,calls,template)</w:t>
        <w:t>100.00%  392.305      1 -total</w:t>
        <w:t xml:space="preserve"> 71.91%  282.122      1 Шаблон:Электростанция</w:t>
        <w:t xml:space="preserve"> 60.08%  235.706      1 Шаблон:Карточка</w:t>
        <w:t xml:space="preserve"> 27.32%  107.164      1 Шаблон:Примечания</w:t>
        <w:t xml:space="preserve"> 22.99%   90.207      1 Шаблон:Статья</w:t>
        <w:t xml:space="preserve"> 19.77%   77.548      2 Шаблон:Бсокр</w:t>
        <w:t xml:space="preserve"> 18.63%   73.102      8 Шаблон:Wikidata</w:t>
        <w:t xml:space="preserve"> 15.64%   61.341      2 Шаблон:Wikidata-coords</w:t>
        <w:t xml:space="preserve">  5.73%   22.495      1 Шаблон:ПозКарта+</w:t>
        <w:t xml:space="preserve">  3.51%   13.779      2 Шаблон:Флагификация</w:t>
        <w:t>--&gt;</w:t>
      </w:r>
    </w:p>
  </w:comment>
  <w:comment w:id="2" w:author="" w:date="2018-08-23T21:38:05Z" w:initials="">
    <w:p>
      <w:r>
        <w:t>Saved in parser cache with key ruwiki:pcache:idhash:7373012-1!thumbsize=2 and timestamp 20180822175608 and revision id 93448758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default"/>
  </w:font>
  <w:font w:name="Thorndale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SimSun" w:cs="Arial Unicode MS"/>
      <w:color w:val="0F0F0F"/>
      <w:sz w:val="24"/>
      <w:szCs w:val="24"/>
      <w:lang w:val="ru-RU" w:eastAsia="zh-CN" w:bidi="hi-IN"/>
    </w:rPr>
  </w:style>
  <w:style w:type="paragraph" w:styleId="1">
    <w:name w:val="Heading 1"/>
    <w:basedOn w:val="Style25"/>
    <w:next w:val="Style24"/>
    <w:qFormat/>
    <w:pPr>
      <w:pBdr/>
      <w:spacing w:before="180" w:after="180"/>
      <w:ind w:start="120" w:end="120" w:hanging="0"/>
    </w:pPr>
    <w:rPr>
      <w:rFonts w:ascii="Thorndale" w:hAnsi="Thorndale"/>
      <w:b/>
      <w:bCs/>
      <w:sz w:val="48"/>
      <w:szCs w:val="44"/>
    </w:rPr>
  </w:style>
  <w:style w:type="paragraph" w:styleId="2">
    <w:name w:val="Heading 2"/>
    <w:basedOn w:val="Style25"/>
    <w:next w:val="Style24"/>
    <w:qFormat/>
    <w:pPr>
      <w:pBdr/>
      <w:spacing w:before="180" w:after="180"/>
      <w:ind w:start="120" w:end="120" w:hanging="0"/>
      <w:outlineLvl w:val="1"/>
    </w:pPr>
    <w:rPr>
      <w:rFonts w:ascii="Liberation Serif" w:hAnsi="Liberation Serif" w:eastAsia="SimSun" w:cs="Arial Unicode MS"/>
      <w:b/>
      <w:bCs/>
      <w:sz w:val="36"/>
      <w:szCs w:val="36"/>
    </w:rPr>
  </w:style>
  <w:style w:type="paragraph" w:styleId="3">
    <w:name w:val="Heading 3"/>
    <w:basedOn w:val="Style25"/>
    <w:next w:val="Style24"/>
    <w:qFormat/>
    <w:pPr>
      <w:pBdr/>
      <w:spacing w:before="120" w:after="120"/>
      <w:ind w:start="120" w:end="120" w:hanging="0"/>
      <w:outlineLvl w:val="2"/>
    </w:pPr>
    <w:rPr>
      <w:rFonts w:ascii="Liberation Serif" w:hAnsi="Liberation Serif" w:eastAsia="SimSun" w:cs="Arial Unicode MS"/>
      <w:b/>
      <w:bCs/>
      <w:sz w:val="28"/>
      <w:szCs w:val="28"/>
    </w:rPr>
  </w:style>
  <w:style w:type="character" w:styleId="Style11">
    <w:name w:val="Символ концевой сноски"/>
    <w:qFormat/>
    <w:rPr/>
  </w:style>
  <w:style w:type="character" w:styleId="Style12">
    <w:name w:val="Символ сноски"/>
    <w:qFormat/>
    <w:rPr/>
  </w:style>
  <w:style w:type="character" w:styleId="Style13">
    <w:name w:val="Интернет-ссылка"/>
    <w:rPr>
      <w:color w:val="000080"/>
      <w:u w:val="single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Горизонтальная линия"/>
    <w:basedOn w:val="Normal"/>
    <w:next w:val="Style24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17">
    <w:name w:val="Envelope Return"/>
    <w:basedOn w:val="Normal"/>
    <w:pPr/>
    <w:rPr>
      <w:i/>
    </w:rPr>
  </w:style>
  <w:style w:type="paragraph" w:styleId="Style18">
    <w:name w:val="Содержимое таблицы"/>
    <w:basedOn w:val="Style24"/>
    <w:qFormat/>
    <w:pPr/>
    <w:rPr/>
  </w:style>
  <w:style w:type="paragraph" w:styleId="Style19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0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1">
    <w:name w:val="Указатель"/>
    <w:basedOn w:val="Normal"/>
    <w:qFormat/>
    <w:pPr>
      <w:suppressLineNumbers/>
    </w:pPr>
    <w:rPr>
      <w:rFonts w:ascii="Times New Roman" w:hAnsi="Times New Roman"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Style23">
    <w:name w:val="List"/>
    <w:basedOn w:val="Style24"/>
    <w:pPr/>
    <w:rPr>
      <w:rFonts w:ascii="Times New Roman" w:hAnsi="Times New Roman" w:cs="Arial Unicode MS"/>
    </w:rPr>
  </w:style>
  <w:style w:type="paragraph" w:styleId="Style24">
    <w:name w:val="Body Text"/>
    <w:basedOn w:val="Normal"/>
    <w:pPr>
      <w:spacing w:before="0" w:after="283"/>
    </w:pPr>
    <w:rPr/>
  </w:style>
  <w:style w:type="paragraph" w:styleId="Style25">
    <w:name w:val="Заголовок"/>
    <w:basedOn w:val="Normal"/>
    <w:next w:val="Style24"/>
    <w:qFormat/>
    <w:pPr>
      <w:keepNext w:val="true"/>
      <w:spacing w:before="240" w:after="283"/>
    </w:pPr>
    <w:rPr>
      <w:rFonts w:ascii="Albany" w:hAnsi="Albany"/>
      <w:sz w:val="28"/>
      <w:szCs w:val="28"/>
    </w:rPr>
  </w:style>
  <w:style w:type="paragraph" w:styleId="Style26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upload.wikimedia.org/wikipedia/commons/thumb/f/f3/Flag_of_Russia.svg/22px-Flag_of_Russia.svg.png" TargetMode="External"/><Relationship Id="rId3" Type="http://schemas.openxmlformats.org/officeDocument/2006/relationships/hyperlink" Target="../../../../../wiki/%D0%A0%D0%BE%D1%81%D1%81%D0%B8%D1%8F" TargetMode="External"/><Relationship Id="rId4" Type="http://schemas.openxmlformats.org/officeDocument/2006/relationships/image" Target="file://upload.wikimedia.org/wikipedia/commons/thumb/d/d8/Flag_of_Kabardino-Balkaria.svg/22px-Flag_of_Kabardino-Balkaria.svg.png" TargetMode="External"/><Relationship Id="rId5" Type="http://schemas.openxmlformats.org/officeDocument/2006/relationships/hyperlink" Target="../../../../../wiki/%D0%9A%D0%B0%D0%B1%D0%B0%D1%80%D0%B4%D0%B8%D0%BD%D0%BE-%D0%91%D0%B0%D0%BB%D0%BA%D0%B0%D1%80%D0%B8%D1%8F" TargetMode="External"/><Relationship Id="rId6" Type="http://schemas.openxmlformats.org/officeDocument/2006/relationships/hyperlink" Target="../../../../../wiki/%D0%A0%D0%B5%D0%BA%D0%B0" TargetMode="External"/><Relationship Id="rId7" Type="http://schemas.openxmlformats.org/officeDocument/2006/relationships/hyperlink" Target="../../../../../wiki/%D0%A7%D0%B5%D1%80%D0%B5%D0%BA_%D0%91%D0%B0%D0%BB%D0%BA%D0%B0%D1%80%D1%81%D0%BA%D0%B8%D0%B9" TargetMode="External"/><Relationship Id="rId8" Type="http://schemas.openxmlformats.org/officeDocument/2006/relationships/hyperlink" Target="../../../../../wiki/%D0%A0%D1%83%D1%81%D0%93%D0%B8%D0%B4%D1%80%D0%BE" TargetMode="External"/><Relationship Id="rId9" Type="http://schemas.openxmlformats.org/officeDocument/2006/relationships/hyperlink" Target="../../../../../wiki/%D0%9A%D0%B8%D0%BB%D0%BE%D0%B2%D0%B0%D1%82%D1%82-%D1%87%D0%B0%D1%81" TargetMode="External"/><Relationship Id="rId10" Type="http://schemas.openxmlformats.org/officeDocument/2006/relationships/hyperlink" Target="../../../../../wiki/%D0%9D%D0%B0%D0%BF%D0%BE%D1%80" TargetMode="External"/><Relationship Id="rId11" Type="http://schemas.openxmlformats.org/officeDocument/2006/relationships/hyperlink" Target="../../../../../wiki/%D0%9C%D0%B5%D0%B3%D0%B0%D0%B2%D0%B0%D1%82%D1%82" TargetMode="External"/><Relationship Id="rId12" Type="http://schemas.openxmlformats.org/officeDocument/2006/relationships/hyperlink" Target="../../../../../wiki/%D0%A0%D0%B0%D0%B4%D0%B8%D0%B0%D0%BB%D1%8C%D0%BD%D0%BE-%D0%BE%D1%81%D0%B5%D0%B2%D0%B0%D1%8F_%D1%82%D1%83%D1%80%D0%B1%D0%B8%D0%BD%D0%B0" TargetMode="External"/><Relationship Id="rId13" Type="http://schemas.openxmlformats.org/officeDocument/2006/relationships/hyperlink" Target="../../../../../wiki/%D0%A1%D0%B5%D0%BA%D1%83%D0%BD%D0%B4%D0%B0" TargetMode="External"/><Relationship Id="rId14" Type="http://schemas.openxmlformats.org/officeDocument/2006/relationships/hyperlink" Target="../../../../../wiki/%D0%9C%D0%92%D1%82" TargetMode="External"/><Relationship Id="rId15" Type="http://schemas.openxmlformats.org/officeDocument/2006/relationships/hyperlink" Target="../../../../../wiki/%D0%A8%D0%BB%D1%8E%D0%B7_(%D0%B3%D0%B8%D0%B4%D1%80%D0%BE%D1%82%D0%B5%D1%85%D0%BD%D0%B8%D1%87%D0%B5%D1%81%D0%BA%D0%BE%D0%B5_%D1%81%D0%BE%D0%BE%D1%80%D1%83%D0%B6%D0%B5%D0%BD%D0%B8%D0%B5)" TargetMode="External"/><Relationship Id="rId16" Type="http://schemas.openxmlformats.org/officeDocument/2006/relationships/hyperlink" Target="../../../../../wiki/%D0%A0%D0%B0%D1%81%D0%BF%D1%80%D0%B5%D0%B4%D0%B5%D0%BB%D0%B8%D1%82%D0%B5%D0%BB%D1%8C%D0%BD%D0%BE%D0%B5_%D1%83%D1%81%D1%82%D1%80%D0%BE%D0%B9%D1%81%D1%82%D0%B2%D0%BE" TargetMode="External"/><Relationship Id="rId17" Type="http://schemas.openxmlformats.org/officeDocument/2006/relationships/image" Target="file://upload.wikimedia.org/wikipedia/commons/thumb/9/9b/Relief_Map_of_Kabardino-Balkaria.jpg/300px-Relief_Map_of_Kabardino-Balkaria.jpg" TargetMode="External"/><Relationship Id="rId18" Type="http://schemas.openxmlformats.org/officeDocument/2006/relationships/image" Target="file://upload.wikimedia.org/wikipedia/commons/thumb/b/b4/Red_pog.png/9px-Red_pog.png" TargetMode="External"/><Relationship Id="rId19" Type="http://schemas.openxmlformats.org/officeDocument/2006/relationships/hyperlink" Target="../../../../../wiki/%D0%93%D0%B8%D0%B4%D1%80%D0%BE%D1%8D%D0%BB%D0%B5%D0%BA%D1%82%D1%80%D0%BE%D1%81%D1%82%D0%B0%D0%BD%D1%86%D0%B8%D1%8F" TargetMode="External"/><Relationship Id="rId20" Type="http://schemas.openxmlformats.org/officeDocument/2006/relationships/hyperlink" Target="../../../../../wiki/%D0%A7%D0%B5%D1%80%D0%B5%D0%BA_%D0%91%D0%B0%D0%BB%D0%BA%D0%B0%D1%80%D1%81%D0%BA%D0%B8%D0%B9" TargetMode="External"/><Relationship Id="rId21" Type="http://schemas.openxmlformats.org/officeDocument/2006/relationships/hyperlink" Target="../../../../../wiki/%D0%92%D0%B5%D1%80%D1%85%D0%BD%D1%8F%D1%8F_%D0%91%D0%B0%D0%BB%D0%BA%D0%B0%D1%80%D0%B8%D1%8F" TargetMode="External"/><Relationship Id="rId22" Type="http://schemas.openxmlformats.org/officeDocument/2006/relationships/hyperlink" Target="http://www.rushydro.ru/press/news/105485.html" TargetMode="External"/><Relationship Id="rId23" Type="http://schemas.openxmlformats.org/officeDocument/2006/relationships/hyperlink" Target="http://www.rushydro.ru/press/news/105485.html" TargetMode="External"/><Relationship Id="rId24" Type="http://schemas.openxmlformats.org/officeDocument/2006/relationships/image" Target="file:///D:/voyt/dev/tkp_auto/static/static/sau_ga/ru/h_cam.png" TargetMode="External"/><Relationship Id="rId25" Type="http://schemas.openxmlformats.org/officeDocument/2006/relationships/image" Target="file:///D:/voyt/dev/tkp_auto/static/static/sau_ga/ru/p_cam.png" TargetMode="External"/><Relationship Id="rId26" Type="http://schemas.openxmlformats.org/officeDocument/2006/relationships/image" Target="file:///D:/voyt/dev/tkp_auto/static/static/sau_ga/ru/isol_p.png" TargetMode="External"/><Relationship Id="rId27" Type="http://schemas.openxmlformats.org/officeDocument/2006/relationships/image" Target="file:///D:/voyt/dev/tkp_auto/static/static/sau_ga/ru/step.png" TargetMode="External"/><Relationship Id="rId28" Type="http://schemas.openxmlformats.org/officeDocument/2006/relationships/image" Target="file:///D:/voyt/dev/tkp_auto/static/static/sau_ga/ru/rushydro.jpg" TargetMode="External"/><Relationship Id="rId29" Type="http://schemas.openxmlformats.org/officeDocument/2006/relationships/image" Target="file:///D:/voyt/dev/tkp_auto/static/static/sau_ga/ru/aes.jpg" TargetMode="External"/><Relationship Id="rId30" Type="http://schemas.openxmlformats.org/officeDocument/2006/relationships/comments" Target="comment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Конфигуратор технических описаний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