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CB17B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Mission - Partie 1 - Identifiez les causes d'attrition au sein d'une ESN </w:t>
      </w:r>
      <w:r/>
    </w:p>
    <w:p w14:paraId="3A9455BA">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3600" cy="100669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73328" name=""/>
                        <pic:cNvPicPr>
                          <a:picLocks noChangeAspect="1"/>
                        </pic:cNvPicPr>
                        <pic:nvPr/>
                      </pic:nvPicPr>
                      <pic:blipFill rotWithShape="1">
                        <a:blip r:embed="rId9"/>
                        <a:stretch/>
                      </pic:blipFill>
                      <pic:spPr bwMode="auto">
                        <a:xfrm>
                          <a:off x="0" y="0"/>
                          <a:ext cx="5943599" cy="1006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79.27pt;mso-wrap-distance-left:0.00pt;mso-wrap-distance-top:0.00pt;mso-wrap-distance-right:0.00pt;mso-wrap-distance-bottom:0.00pt;z-index:1;" stroked="false">
                <v:imagedata r:id="rId9" o:title=""/>
                <o:lock v:ext="edit" rotation="t"/>
              </v:shape>
            </w:pict>
          </mc:Fallback>
        </mc:AlternateContent>
      </w:r>
      <w:r/>
    </w:p>
    <w:p w14:paraId="485E6154">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Comment allez vous procéder ?</w:t>
      </w:r>
      <w:r/>
    </w:p>
    <w:p w14:paraId="24AD8648">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3600" cy="4086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07167" name=""/>
                        <pic:cNvPicPr>
                          <a:picLocks noChangeAspect="1"/>
                        </pic:cNvPicPr>
                        <pic:nvPr/>
                      </pic:nvPicPr>
                      <pic:blipFill rotWithShape="1">
                        <a:blip r:embed="rId10"/>
                        <a:stretch/>
                      </pic:blipFill>
                      <pic:spPr bwMode="auto">
                        <a:xfrm>
                          <a:off x="0" y="0"/>
                          <a:ext cx="5943599" cy="40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22pt;mso-wrap-distance-left:0.00pt;mso-wrap-distance-top:0.00pt;mso-wrap-distance-right:0.00pt;mso-wrap-distance-bottom:0.00pt;z-index:1;" stroked="false">
                <v:imagedata r:id="rId10" o:title=""/>
                <o:lock v:ext="edit" rotation="t"/>
              </v:shape>
            </w:pict>
          </mc:Fallback>
        </mc:AlternateContent>
      </w:r>
      <w:r/>
    </w:p>
    <w:p w14:paraId="39AC96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7BE7E1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Cette mission suit un scénario de projet professionnel.</w:t>
      </w:r>
      <w:r/>
    </w:p>
    <w:p w14:paraId="07FD398B">
      <w:pPr>
        <w:pBdr>
          <w:top w:val="none" w:color="000000" w:sz="4" w:space="0"/>
          <w:left w:val="none" w:color="000000" w:sz="4" w:space="0"/>
          <w:bottom w:val="none" w:color="000000" w:sz="4" w:space="0"/>
          <w:right w:val="none" w:color="000000" w:sz="4" w:space="0"/>
        </w:pBdr>
        <w:spacing/>
        <w:ind w:right="0" w:firstLine="0" w:left="0"/>
        <w:rPr/>
      </w:pPr>
      <w:r>
        <w:br/>
      </w:r>
      <w:r>
        <w:rPr>
          <w:rFonts w:ascii="Times New Roman" w:hAnsi="Times New Roman" w:eastAsia="Times New Roman" w:cs="Times New Roman"/>
          <w:color w:val="000000"/>
          <w:sz w:val="24"/>
        </w:rPr>
        <w:t xml:space="preserve">Vous pouvez suivre les étapes pour vous aider à réaliser vos livrables.</w:t>
      </w:r>
      <w:r/>
    </w:p>
    <w:p w14:paraId="6AF09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2464DA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Avant de démarrer, nous vous conseillons de :</w:t>
      </w:r>
      <w:r/>
    </w:p>
    <w:p w14:paraId="2159F9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lire toute la mission et ses documents liés ;</w:t>
      </w:r>
      <w:r/>
    </w:p>
    <w:p w14:paraId="1370BEC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prendre des notes sur ce que vous avez compris ;</w:t>
      </w:r>
      <w:r/>
    </w:p>
    <w:p w14:paraId="067FFF8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consulter les étapes pour vous guider ; </w:t>
      </w:r>
      <w:r/>
    </w:p>
    <w:p w14:paraId="3E98995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préparer une liste de questions pour votre première session de mentorat.</w:t>
      </w:r>
      <w:r>
        <w:rPr>
          <w:rFonts w:ascii="Times New Roman" w:hAnsi="Times New Roman" w:eastAsia="Times New Roman" w:cs="Times New Roman"/>
          <w:i/>
          <w:color w:val="000000"/>
          <w:sz w:val="24"/>
        </w:rPr>
        <w:t xml:space="preserve"> </w:t>
      </w:r>
      <w:r/>
    </w:p>
    <w:p w14:paraId="2BBC4226">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Prêt à mener la mission ?</w:t>
      </w:r>
      <w:r/>
    </w:p>
    <w:p w14:paraId="694689F8">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3600" cy="4086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59992" name=""/>
                        <pic:cNvPicPr>
                          <a:picLocks noChangeAspect="1"/>
                        </pic:cNvPicPr>
                        <pic:nvPr/>
                      </pic:nvPicPr>
                      <pic:blipFill rotWithShape="1">
                        <a:blip r:embed="rId10"/>
                        <a:stretch/>
                      </pic:blipFill>
                      <pic:spPr bwMode="auto">
                        <a:xfrm>
                          <a:off x="0" y="0"/>
                          <a:ext cx="5943599" cy="40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22pt;mso-wrap-distance-left:0.00pt;mso-wrap-distance-top:0.00pt;mso-wrap-distance-right:0.00pt;mso-wrap-distance-bottom:0.00pt;z-index:1;" stroked="false">
                <v:imagedata r:id="rId10" o:title=""/>
                <o:lock v:ext="edit" rotation="t"/>
              </v:shape>
            </w:pict>
          </mc:Fallback>
        </mc:AlternateContent>
      </w:r>
      <w:r/>
    </w:p>
    <w:p w14:paraId="5F4F58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73D322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Vous êtes mandaté en tant que Consultant Data Scientist par le département RH de votre client. Il s’agit de l'ESN TechNova Partners, spécialisée dans le conseil en transformation digitale et la vente d’applications en SaaS.</w:t>
      </w:r>
      <w:r/>
    </w:p>
    <w:p w14:paraId="3D1C15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27E8D3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Ils font face à un turnover plus élevé que d'habitude et ils souhaitent identifier les causes racines potentielles derrière ces démissions.</w:t>
      </w:r>
      <w:r/>
    </w:p>
    <w:p w14:paraId="06B3CB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3592A3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Suite à votre onboarding, vous avez reçu ce mail de la part du responsable SIRH :</w:t>
      </w:r>
      <w:r/>
    </w:p>
    <w:p w14:paraId="217FA5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tbl>
      <w:tblPr>
        <w:tblStyle w:val="12"/>
        <w:tblInd w:w="0" w:type="dxa"/>
        <w:tblW w:w="5000" w:type="pct"/>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autofit"/>
        <w:tblLook w:val="04A0" w:firstRow="1" w:lastRow="0" w:firstColumn="1" w:lastColumn="0" w:noHBand="0" w:noVBand="1"/>
      </w:tblPr>
      <w:tblGrid>
        <w:gridCol w:w="9354"/>
      </w:tblGrid>
      <w:tr>
        <w:trPr/>
        <w:tc>
          <w:tcPr>
            <w:tcBorders>
              <w:top w:val="single" w:color="808080" w:sz="6" w:space="0"/>
              <w:left w:val="single" w:color="808080" w:sz="6" w:space="0"/>
              <w:bottom w:val="single" w:color="808080" w:sz="6" w:space="0"/>
              <w:right w:val="single" w:color="808080" w:sz="6" w:space="0"/>
            </w:tcBorders>
            <w:tcMar>
              <w:left w:w="15" w:type="dxa"/>
              <w:top w:w="15" w:type="dxa"/>
              <w:right w:w="15" w:type="dxa"/>
              <w:bottom w:w="15" w:type="dxa"/>
            </w:tcMar>
            <w:tcW w:w="9354" w:type="dxa"/>
            <w:vAlign w:val="center"/>
            <w:textDirection w:val="lrTb"/>
            <w:noWrap w:val="false"/>
          </w:tcPr>
          <w:p w14:paraId="0D4CF8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 : </w:t>
            </w:r>
            <w:r>
              <w:rPr>
                <w:rFonts w:ascii="Times New Roman" w:hAnsi="Times New Roman" w:eastAsia="Times New Roman" w:cs="Times New Roman"/>
                <w:color w:val="000000"/>
                <w:sz w:val="24"/>
              </w:rPr>
              <w:t xml:space="preserve">Augustin Moser</w:t>
            </w:r>
            <w:r/>
          </w:p>
        </w:tc>
      </w:tr>
      <w:tr>
        <w:trPr/>
        <w:tc>
          <w:tcPr>
            <w:tcBorders>
              <w:top w:val="single" w:color="808080" w:sz="6" w:space="0"/>
              <w:left w:val="single" w:color="808080" w:sz="6" w:space="0"/>
              <w:bottom w:val="single" w:color="808080" w:sz="6" w:space="0"/>
              <w:right w:val="single" w:color="808080" w:sz="6" w:space="0"/>
            </w:tcBorders>
            <w:tcMar>
              <w:left w:w="15" w:type="dxa"/>
              <w:top w:w="15" w:type="dxa"/>
              <w:right w:w="15" w:type="dxa"/>
              <w:bottom w:w="15" w:type="dxa"/>
            </w:tcMar>
            <w:tcW w:w="9354" w:type="dxa"/>
            <w:vAlign w:val="center"/>
            <w:textDirection w:val="lrTb"/>
            <w:noWrap w:val="false"/>
          </w:tcPr>
          <w:p w14:paraId="4778B1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À</w:t>
            </w:r>
            <w:r>
              <w:rPr>
                <w:rFonts w:ascii="Times New Roman" w:hAnsi="Times New Roman" w:eastAsia="Times New Roman" w:cs="Times New Roman"/>
                <w:color w:val="000000"/>
                <w:sz w:val="24"/>
              </w:rPr>
              <w:t xml:space="preserve"> : Moi</w:t>
            </w:r>
            <w:r/>
          </w:p>
        </w:tc>
      </w:tr>
      <w:tr>
        <w:trPr/>
        <w:tc>
          <w:tcPr>
            <w:tcBorders>
              <w:top w:val="single" w:color="808080" w:sz="6" w:space="0"/>
              <w:left w:val="single" w:color="808080" w:sz="6" w:space="0"/>
              <w:bottom w:val="single" w:color="808080" w:sz="6" w:space="0"/>
              <w:right w:val="single" w:color="808080" w:sz="6" w:space="0"/>
            </w:tcBorders>
            <w:tcMar>
              <w:left w:w="15" w:type="dxa"/>
              <w:top w:w="15" w:type="dxa"/>
              <w:right w:w="15" w:type="dxa"/>
              <w:bottom w:w="15" w:type="dxa"/>
            </w:tcMar>
            <w:tcW w:w="9354" w:type="dxa"/>
            <w:vAlign w:val="center"/>
            <w:textDirection w:val="lrTb"/>
            <w:noWrap w:val="false"/>
          </w:tcPr>
          <w:p w14:paraId="3BCF47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Objet : </w:t>
            </w:r>
            <w:r>
              <w:rPr>
                <w:rFonts w:ascii="Times New Roman" w:hAnsi="Times New Roman" w:eastAsia="Times New Roman" w:cs="Times New Roman"/>
                <w:color w:val="000000"/>
                <w:sz w:val="24"/>
              </w:rPr>
              <w:t xml:space="preserve">[HR Analytics] Analyse des causes de démission chez TechNova Partners</w:t>
            </w:r>
            <w:r/>
          </w:p>
        </w:tc>
      </w:tr>
      <w:tr>
        <w:trPr/>
        <w:tc>
          <w:tcPr>
            <w:tcBorders>
              <w:top w:val="single" w:color="808080" w:sz="6" w:space="0"/>
              <w:left w:val="single" w:color="808080" w:sz="6" w:space="0"/>
              <w:bottom w:val="single" w:color="808080" w:sz="6" w:space="0"/>
              <w:right w:val="single" w:color="808080" w:sz="6" w:space="0"/>
            </w:tcBorders>
            <w:tcMar>
              <w:left w:w="15" w:type="dxa"/>
              <w:top w:w="15" w:type="dxa"/>
              <w:right w:w="15" w:type="dxa"/>
              <w:bottom w:w="15" w:type="dxa"/>
            </w:tcMar>
            <w:tcW w:w="9354" w:type="dxa"/>
            <w:vAlign w:val="center"/>
            <w:textDirection w:val="lrTb"/>
            <w:noWrap w:val="false"/>
          </w:tcPr>
          <w:p w14:paraId="5A82F9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Bonjour,</w:t>
            </w:r>
            <w:r/>
          </w:p>
          <w:p w14:paraId="73AC1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3C0C5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Je te souhaite la bienvenue chez TechNova, on attendait ton arrivée avec impatience ! Comme tu le sais, nous faisons face à un taux de démission particulièrement élevé en ce moment et nous voulons en identifier les causes potentielles, ainsi que des levier</w:t>
            </w:r>
            <w:r>
              <w:rPr>
                <w:rFonts w:ascii="Times New Roman" w:hAnsi="Times New Roman" w:eastAsia="Times New Roman" w:cs="Times New Roman"/>
                <w:color w:val="000000"/>
                <w:sz w:val="24"/>
              </w:rPr>
              <w:t xml:space="preserve">s actionnables pour remédier à cela.</w:t>
            </w:r>
            <w:r/>
          </w:p>
          <w:p w14:paraId="7B5C4D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344B03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échangeant avec les employés démissionnaires, nous avons quelques intuitions concernant les causes, mais nous sommes convaincus qu’il faut passer par une analyse des données pour avoir une vision objective et exhaustive de la situation.</w:t>
            </w:r>
            <w:r/>
          </w:p>
          <w:p w14:paraId="38155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4B8E77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Pour te faciliter les choses, nous avons pu compiler 3 fichiers de données, chacun issu d’une source différente :</w:t>
            </w:r>
            <w:r/>
          </w:p>
          <w:p w14:paraId="3DF324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3BA3DC9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 extrait de notre système SIRH</w:t>
            </w:r>
            <w:r>
              <w:rPr>
                <w:rFonts w:ascii="Times New Roman" w:hAnsi="Times New Roman" w:eastAsia="Times New Roman" w:cs="Times New Roman"/>
                <w:color w:val="000000"/>
                <w:sz w:val="24"/>
              </w:rPr>
              <w:t xml:space="preserve"> où l’on va trouver des informations sur la fonction qu’occupe un employé chez nous  ainsi que son âge, salaire, ancienneté etc.) ainsi que ses informations sociodémographiques.</w:t>
            </w:r>
            <w:r/>
          </w:p>
          <w:p w14:paraId="4192F7A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 extrait d’un autre SI</w:t>
            </w:r>
            <w:r>
              <w:rPr>
                <w:rFonts w:ascii="Times New Roman" w:hAnsi="Times New Roman" w:eastAsia="Times New Roman" w:cs="Times New Roman"/>
                <w:color w:val="000000"/>
                <w:sz w:val="24"/>
              </w:rPr>
              <w:t xml:space="preserve"> que l’on utilise spécifiquement pour les</w:t>
            </w:r>
            <w:r>
              <w:rPr>
                <w:rFonts w:ascii="Times New Roman" w:hAnsi="Times New Roman" w:eastAsia="Times New Roman" w:cs="Times New Roman"/>
                <w:b/>
                <w:color w:val="000000"/>
                <w:sz w:val="24"/>
              </w:rPr>
              <w:t xml:space="preserve"> évaluations annuelles de performance</w:t>
            </w:r>
            <w:r>
              <w:rPr>
                <w:rFonts w:ascii="Times New Roman" w:hAnsi="Times New Roman" w:eastAsia="Times New Roman" w:cs="Times New Roman"/>
                <w:color w:val="000000"/>
                <w:sz w:val="24"/>
              </w:rPr>
              <w:t xml:space="preserve">. On y retrouve des informations telles que les notes de ces évaluations et des notes de satisfaction données par les employés.</w:t>
            </w:r>
            <w:r/>
          </w:p>
          <w:p w14:paraId="215CF09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Enfin, nous demandons aussi à tous nos employés de remplir annuellement un </w:t>
            </w:r>
            <w:r>
              <w:rPr>
                <w:rFonts w:ascii="Times New Roman" w:hAnsi="Times New Roman" w:eastAsia="Times New Roman" w:cs="Times New Roman"/>
                <w:b/>
                <w:color w:val="000000"/>
                <w:sz w:val="24"/>
              </w:rPr>
              <w:t xml:space="preserve">sondage </w:t>
            </w:r>
            <w:r>
              <w:rPr>
                <w:rFonts w:ascii="Times New Roman" w:hAnsi="Times New Roman" w:eastAsia="Times New Roman" w:cs="Times New Roman"/>
                <w:color w:val="000000"/>
                <w:sz w:val="24"/>
              </w:rPr>
              <w:t xml:space="preserve">qui nous aide à mettre en place des actions pour le bien-être des employés. Voici à disposition l’extrait du sondage le plus récent. Nous y avons ajouté </w:t>
            </w:r>
            <w:r>
              <w:rPr>
                <w:rFonts w:ascii="Times New Roman" w:hAnsi="Times New Roman" w:eastAsia="Times New Roman" w:cs="Times New Roman"/>
                <w:b/>
                <w:color w:val="000000"/>
                <w:sz w:val="24"/>
              </w:rPr>
              <w:t xml:space="preserve">un témoin pour indiquer si l’employé a quitté l’entreprise ou non</w:t>
            </w:r>
            <w:r>
              <w:rPr>
                <w:rFonts w:ascii="Times New Roman" w:hAnsi="Times New Roman" w:eastAsia="Times New Roman" w:cs="Times New Roman"/>
                <w:color w:val="000000"/>
                <w:sz w:val="24"/>
              </w:rPr>
              <w:t xml:space="preserve">.</w:t>
            </w:r>
            <w:r/>
          </w:p>
          <w:p w14:paraId="132B66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51501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très bientôt pour un premier point d’étape.</w:t>
            </w:r>
            <w:r/>
          </w:p>
          <w:p w14:paraId="199199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34A807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Cordialement,</w:t>
            </w:r>
            <w:r/>
          </w:p>
          <w:p w14:paraId="5CEE1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52F71C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Augustin Moser</w:t>
            </w:r>
            <w:r/>
          </w:p>
          <w:p w14:paraId="6395E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Responsable SIRH – TechNova Partners</w:t>
            </w:r>
            <w:r/>
          </w:p>
        </w:tc>
      </w:tr>
      <w:tr>
        <w:trPr/>
        <w:tc>
          <w:tcPr>
            <w:tcBorders>
              <w:top w:val="single" w:color="808080" w:sz="6" w:space="0"/>
              <w:left w:val="single" w:color="808080" w:sz="6" w:space="0"/>
              <w:bottom w:val="single" w:color="808080" w:sz="6" w:space="0"/>
              <w:right w:val="single" w:color="808080" w:sz="6" w:space="0"/>
            </w:tcBorders>
            <w:tcMar>
              <w:left w:w="15" w:type="dxa"/>
              <w:top w:w="15" w:type="dxa"/>
              <w:right w:w="15" w:type="dxa"/>
              <w:bottom w:w="15" w:type="dxa"/>
            </w:tcMar>
            <w:tcW w:w="9354" w:type="dxa"/>
            <w:vAlign w:val="center"/>
            <w:textDirection w:val="lrTb"/>
            <w:noWrap w:val="false"/>
          </w:tcPr>
          <w:p w14:paraId="5F55CA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PJ : </w:t>
            </w:r>
            <w:r/>
          </w:p>
          <w:p w14:paraId="45366176">
            <w:pPr>
              <w:pStyle w:val="668"/>
              <w:numPr>
                <w:ilvl w:val="0"/>
                <w:numId w:val="3"/>
              </w:numPr>
              <w:pBdr>
                <w:top w:val="none" w:color="000000" w:sz="4" w:space="0"/>
                <w:left w:val="none" w:color="000000" w:sz="4" w:space="0"/>
                <w:bottom w:val="none" w:color="000000" w:sz="4" w:space="0"/>
                <w:right w:val="none" w:color="000000" w:sz="4" w:space="0"/>
              </w:pBdr>
              <w:spacing/>
              <w:ind w:right="0"/>
              <w:rPr/>
            </w:pPr>
            <w:hyperlink r:id="rId11" w:tooltip="https://s3.eu-west-1.amazonaws.com/course.oc-static.com/projects/1047_Data+Scientist+ML/P4_DSML_1047/extrait_sirh.csv" w:history="1">
              <w:r>
                <w:rPr>
                  <w:rStyle w:val="187"/>
                  <w:rFonts w:ascii="Times New Roman" w:hAnsi="Times New Roman" w:eastAsia="Times New Roman" w:cs="Times New Roman"/>
                  <w:color w:val="0000ee"/>
                  <w:sz w:val="24"/>
                  <w:u w:val="single"/>
                </w:rPr>
                <w:t xml:space="preserve">Extrait SIRH.csv</w:t>
              </w:r>
            </w:hyperlink>
            <w:r/>
          </w:p>
          <w:p w14:paraId="1462A359">
            <w:pPr>
              <w:pStyle w:val="668"/>
              <w:numPr>
                <w:ilvl w:val="0"/>
                <w:numId w:val="3"/>
              </w:numPr>
              <w:pBdr>
                <w:top w:val="none" w:color="000000" w:sz="4" w:space="0"/>
                <w:left w:val="none" w:color="000000" w:sz="4" w:space="0"/>
                <w:bottom w:val="none" w:color="000000" w:sz="4" w:space="0"/>
                <w:right w:val="none" w:color="000000" w:sz="4" w:space="0"/>
              </w:pBdr>
              <w:spacing/>
              <w:ind w:right="0"/>
              <w:rPr/>
            </w:pPr>
            <w:hyperlink r:id="rId12" w:tooltip="https://s3.eu-west-1.amazonaws.com/course.oc-static.com/projects/1047_Data+Scientist+ML/P4_DSML_1047/extrait_eval.csv" w:history="1">
              <w:r>
                <w:rPr>
                  <w:rStyle w:val="187"/>
                  <w:rFonts w:ascii="Times New Roman" w:hAnsi="Times New Roman" w:eastAsia="Times New Roman" w:cs="Times New Roman"/>
                  <w:color w:val="0000ee"/>
                  <w:sz w:val="24"/>
                  <w:u w:val="single"/>
                </w:rPr>
                <w:t xml:space="preserve">Extrait évaluations de performance </w:t>
              </w:r>
            </w:hyperlink>
            <w:r/>
          </w:p>
          <w:p w14:paraId="331E89B5">
            <w:pPr>
              <w:pStyle w:val="668"/>
              <w:numPr>
                <w:ilvl w:val="0"/>
                <w:numId w:val="3"/>
              </w:numPr>
              <w:pBdr>
                <w:top w:val="none" w:color="000000" w:sz="4" w:space="0"/>
                <w:left w:val="none" w:color="000000" w:sz="4" w:space="0"/>
                <w:bottom w:val="none" w:color="000000" w:sz="4" w:space="0"/>
                <w:right w:val="none" w:color="000000" w:sz="4" w:space="0"/>
              </w:pBdr>
              <w:spacing/>
              <w:ind w:right="0"/>
              <w:rPr/>
            </w:pPr>
            <w:hyperlink r:id="rId13" w:tooltip="https://s3.eu-west-1.amazonaws.com/course.oc-static.com/projects/1047_Data+Scientist+ML/P4_DSML_1047/extrait_sondage.csv" w:history="1">
              <w:r>
                <w:rPr>
                  <w:rStyle w:val="187"/>
                  <w:rFonts w:ascii="Times New Roman" w:hAnsi="Times New Roman" w:eastAsia="Times New Roman" w:cs="Times New Roman"/>
                  <w:color w:val="0000ee"/>
                  <w:sz w:val="24"/>
                  <w:u w:val="single"/>
                </w:rPr>
                <w:t xml:space="preserve">Extrait sondage</w:t>
              </w:r>
            </w:hyperlink>
            <w:r/>
          </w:p>
        </w:tc>
      </w:tr>
    </w:tbl>
    <w:p w14:paraId="6FD7FF91">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Quelques minutes plus tard</w:t>
      </w:r>
      <w:r/>
    </w:p>
    <w:p w14:paraId="6AE7006C">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3600" cy="4086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77472" name=""/>
                        <pic:cNvPicPr>
                          <a:picLocks noChangeAspect="1"/>
                        </pic:cNvPicPr>
                        <pic:nvPr/>
                      </pic:nvPicPr>
                      <pic:blipFill rotWithShape="1">
                        <a:blip r:embed="rId14"/>
                        <a:stretch/>
                      </pic:blipFill>
                      <pic:spPr bwMode="auto">
                        <a:xfrm>
                          <a:off x="0" y="0"/>
                          <a:ext cx="5943599" cy="40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22pt;mso-wrap-distance-left:0.00pt;mso-wrap-distance-top:0.00pt;mso-wrap-distance-right:0.00pt;mso-wrap-distance-bottom:0.00pt;z-index:1;" stroked="false">
                <v:imagedata r:id="rId14" o:title=""/>
                <o:lock v:ext="edit" rotation="t"/>
              </v:shape>
            </w:pict>
          </mc:Fallback>
        </mc:AlternateContent>
      </w:r>
      <w:r/>
    </w:p>
    <w:p w14:paraId="56103D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7B52A7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Après avoir pris connaissance du mail d’Augustin, vous en recevez un autre de la part d’Amandine votre Manager Data Scientist :</w:t>
      </w:r>
      <w:r/>
    </w:p>
    <w:p w14:paraId="5FB545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tbl>
      <w:tblPr>
        <w:tblStyle w:val="12"/>
        <w:tblInd w:w="0" w:type="dxa"/>
        <w:tblW w:w="5000" w:type="pct"/>
        <w:tblBorders>
          <w:top w:val="single" w:color="808080" w:sz="6" w:space="0"/>
          <w:left w:val="single" w:color="808080" w:sz="6" w:space="0"/>
          <w:bottom w:val="single" w:color="808080" w:sz="6" w:space="0"/>
          <w:right w:val="single" w:color="808080" w:sz="6" w:space="0"/>
          <w:insideH w:val="none" w:color="000000" w:sz="4" w:space="0"/>
          <w:insideV w:val="none" w:color="000000" w:sz="4" w:space="0"/>
        </w:tblBorders>
        <w:tblLayout w:type="autofit"/>
        <w:tblLook w:val="04A0" w:firstRow="1" w:lastRow="0" w:firstColumn="1" w:lastColumn="0" w:noHBand="0" w:noVBand="1"/>
      </w:tblPr>
      <w:tblGrid>
        <w:gridCol w:w="9354"/>
      </w:tblGrid>
      <w:tr>
        <w:trPr>
          <w:trHeight w:val="390"/>
        </w:trPr>
        <w:tc>
          <w:tcPr>
            <w:tcBorders>
              <w:top w:val="single" w:color="808080" w:sz="6" w:space="0"/>
              <w:left w:val="single" w:color="808080" w:sz="6" w:space="0"/>
              <w:bottom w:val="single" w:color="808080" w:sz="6" w:space="0"/>
              <w:right w:val="single" w:color="808080" w:sz="6" w:space="0"/>
            </w:tcBorders>
            <w:tcMar>
              <w:left w:w="15" w:type="dxa"/>
              <w:top w:w="15" w:type="dxa"/>
              <w:right w:w="15" w:type="dxa"/>
              <w:bottom w:w="15" w:type="dxa"/>
            </w:tcMar>
            <w:tcW w:w="9354" w:type="dxa"/>
            <w:vAlign w:val="center"/>
            <w:textDirection w:val="lrTb"/>
            <w:noWrap w:val="false"/>
          </w:tcPr>
          <w:p w14:paraId="3C4781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 </w:t>
            </w:r>
            <w:r>
              <w:rPr>
                <w:rFonts w:ascii="Times New Roman" w:hAnsi="Times New Roman" w:eastAsia="Times New Roman" w:cs="Times New Roman"/>
                <w:color w:val="000000"/>
                <w:sz w:val="24"/>
              </w:rPr>
              <w:t xml:space="preserve">: Amandine Rousset</w:t>
            </w:r>
            <w:r/>
          </w:p>
        </w:tc>
      </w:tr>
      <w:tr>
        <w:trPr>
          <w:trHeight w:val="390"/>
        </w:trPr>
        <w:tc>
          <w:tcPr>
            <w:tcBorders>
              <w:top w:val="single" w:color="808080" w:sz="6" w:space="0"/>
              <w:left w:val="single" w:color="808080" w:sz="6" w:space="0"/>
              <w:bottom w:val="single" w:color="808080" w:sz="6" w:space="0"/>
              <w:right w:val="single" w:color="808080" w:sz="6" w:space="0"/>
            </w:tcBorders>
            <w:tcMar>
              <w:left w:w="15" w:type="dxa"/>
              <w:top w:w="15" w:type="dxa"/>
              <w:right w:w="15" w:type="dxa"/>
              <w:bottom w:w="15" w:type="dxa"/>
            </w:tcMar>
            <w:tcW w:w="9354" w:type="dxa"/>
            <w:vAlign w:val="center"/>
            <w:textDirection w:val="lrTb"/>
            <w:noWrap w:val="false"/>
          </w:tcPr>
          <w:p w14:paraId="7E8457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À : </w:t>
            </w:r>
            <w:r>
              <w:rPr>
                <w:rFonts w:ascii="Times New Roman" w:hAnsi="Times New Roman" w:eastAsia="Times New Roman" w:cs="Times New Roman"/>
                <w:color w:val="000000"/>
                <w:sz w:val="24"/>
              </w:rPr>
              <w:t xml:space="preserve">Moi</w:t>
            </w:r>
            <w:r/>
          </w:p>
        </w:tc>
      </w:tr>
      <w:tr>
        <w:trPr>
          <w:trHeight w:val="390"/>
        </w:trPr>
        <w:tc>
          <w:tcPr>
            <w:tcBorders>
              <w:top w:val="single" w:color="808080" w:sz="6" w:space="0"/>
              <w:left w:val="single" w:color="808080" w:sz="6" w:space="0"/>
              <w:bottom w:val="single" w:color="808080" w:sz="6" w:space="0"/>
              <w:right w:val="single" w:color="808080" w:sz="6" w:space="0"/>
            </w:tcBorders>
            <w:tcMar>
              <w:left w:w="15" w:type="dxa"/>
              <w:top w:w="15" w:type="dxa"/>
              <w:right w:w="15" w:type="dxa"/>
              <w:bottom w:w="15" w:type="dxa"/>
            </w:tcMar>
            <w:tcW w:w="9354" w:type="dxa"/>
            <w:vAlign w:val="center"/>
            <w:textDirection w:val="lrTb"/>
            <w:noWrap w:val="false"/>
          </w:tcPr>
          <w:p w14:paraId="34D6E7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Objet :</w:t>
            </w:r>
            <w:r>
              <w:rPr>
                <w:rFonts w:ascii="Times New Roman" w:hAnsi="Times New Roman" w:eastAsia="Times New Roman" w:cs="Times New Roman"/>
                <w:color w:val="000000"/>
                <w:sz w:val="24"/>
              </w:rPr>
              <w:t xml:space="preserve"> RE : [HR Analytics] Analyse des causes de démission chez TechNova Partners</w:t>
            </w:r>
            <w:r/>
          </w:p>
        </w:tc>
      </w:tr>
      <w:tr>
        <w:trPr>
          <w:trHeight w:val="6630"/>
        </w:trPr>
        <w:tc>
          <w:tcPr>
            <w:tcBorders>
              <w:top w:val="single" w:color="808080" w:sz="6" w:space="0"/>
              <w:left w:val="single" w:color="808080" w:sz="6" w:space="0"/>
              <w:bottom w:val="single" w:color="808080" w:sz="6" w:space="0"/>
              <w:right w:val="single" w:color="808080" w:sz="6" w:space="0"/>
            </w:tcBorders>
            <w:tcMar>
              <w:left w:w="15" w:type="dxa"/>
              <w:top w:w="15" w:type="dxa"/>
              <w:right w:w="15" w:type="dxa"/>
              <w:bottom w:w="15" w:type="dxa"/>
            </w:tcMar>
            <w:tcW w:w="9354" w:type="dxa"/>
            <w:vAlign w:val="center"/>
            <w:textDirection w:val="lrTb"/>
            <w:noWrap w:val="false"/>
          </w:tcPr>
          <w:p w14:paraId="58BED1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Hello,</w:t>
            </w:r>
            <w:r/>
          </w:p>
          <w:p w14:paraId="090CB8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3D6B17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Comme tu peux le voir, l’attente est assez élevée du côté des RH ! Essayons de décomposer ensemble la demande d’Augustin en étapes d’analyse pour répondre à leur demande.</w:t>
            </w:r>
            <w:r/>
          </w:p>
          <w:p w14:paraId="708FB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327483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Sans surprise, la première chose à faire serait de mener une analyse exploratoire des différents fichiers pour faire ressortir des différences clés entre les employés ayant quitté l’entreprise et ceux qui y sont encore. Ce seront des insights importants à </w:t>
            </w:r>
            <w:r>
              <w:rPr>
                <w:rFonts w:ascii="Times New Roman" w:hAnsi="Times New Roman" w:eastAsia="Times New Roman" w:cs="Times New Roman"/>
                <w:color w:val="000000"/>
                <w:sz w:val="24"/>
              </w:rPr>
              <w:t xml:space="preserve">formaliser pour les RH !</w:t>
            </w:r>
            <w:r/>
          </w:p>
          <w:p w14:paraId="2663C8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4441ED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Ensuite, il faudra que tu réalises un modèle de classification. L’algorithme apprendra à partir des fichiers de données à scorer la probabilité de démission de chaque employé. Effectivement, c’est ce modèle qui nous servira à extraire des causes potentiell</w:t>
            </w:r>
            <w:r>
              <w:rPr>
                <w:rFonts w:ascii="Times New Roman" w:hAnsi="Times New Roman" w:eastAsia="Times New Roman" w:cs="Times New Roman"/>
                <w:color w:val="000000"/>
                <w:sz w:val="24"/>
              </w:rPr>
              <w:t xml:space="preserve">es de démission. Pour cela, tu utiliseras le package SHAP, mais uniquement après avoir stabilisé ton approche de modélisation !</w:t>
            </w:r>
            <w:r/>
          </w:p>
          <w:p w14:paraId="011701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0ADE2C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Je te laisse prendre connaissance de la donnée, on fera le point bientôt pour passer en revue tes trouvailles.</w:t>
            </w:r>
            <w:r/>
          </w:p>
          <w:p w14:paraId="081D3D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2CF976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Bon courage !</w:t>
            </w:r>
            <w:r/>
          </w:p>
          <w:p w14:paraId="02480C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0F80C5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Amandine</w:t>
            </w:r>
            <w:r/>
          </w:p>
        </w:tc>
      </w:tr>
    </w:tbl>
    <w:p w14:paraId="1C599023">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Quelques minutes plus tard</w:t>
      </w:r>
      <w:r/>
    </w:p>
    <w:p w14:paraId="6FC6F3F8">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943600" cy="4086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7296" name=""/>
                        <pic:cNvPicPr>
                          <a:picLocks noChangeAspect="1"/>
                        </pic:cNvPicPr>
                        <pic:nvPr/>
                      </pic:nvPicPr>
                      <pic:blipFill rotWithShape="1">
                        <a:blip r:embed="rId14"/>
                        <a:stretch/>
                      </pic:blipFill>
                      <pic:spPr bwMode="auto">
                        <a:xfrm>
                          <a:off x="0" y="0"/>
                          <a:ext cx="5943599" cy="40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22pt;mso-wrap-distance-left:0.00pt;mso-wrap-distance-top:0.00pt;mso-wrap-distance-right:0.00pt;mso-wrap-distance-bottom:0.00pt;z-index:1;" stroked="false">
                <v:imagedata r:id="rId14" o:title=""/>
                <o:lock v:ext="edit" rotation="t"/>
              </v:shape>
            </w:pict>
          </mc:Fallback>
        </mc:AlternateContent>
      </w:r>
      <w:r/>
    </w:p>
    <w:p w14:paraId="241846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1037E7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Après lecture de ce mail, vous planifiez vos tâches et décidez de produire les éléments suivants : </w:t>
      </w:r>
      <w:r/>
    </w:p>
    <w:p w14:paraId="455DC1E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fichier pyproject.toml où l’on trouve : </w:t>
      </w:r>
      <w:r/>
    </w:p>
    <w:p w14:paraId="722325B1">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versions de Python compatibles avec le projet ;</w:t>
      </w:r>
      <w:r/>
    </w:p>
    <w:p w14:paraId="776E4CD5">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dépendances nécessaires à installer pour exécuter les notebooks et les éventuels scripts Python.</w:t>
      </w:r>
      <w:r/>
    </w:p>
    <w:p w14:paraId="0515030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ensemble de Jupyter Notebooks (fichier au format .ipynb) et/ou de scripts Python (fichiers .py) contenant le code de nettoyage, d'exploration de la donnée ainsi que les modélisations.</w:t>
      </w:r>
      <w:r/>
    </w:p>
    <w:p w14:paraId="1D94D6D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support de présentation de votre travail sur ce projet à destination d’Amandine. </w:t>
      </w:r>
      <w:r/>
    </w:p>
    <w:p w14:paraId="5110AD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Vous vous mettez directement au travail !</w:t>
      </w:r>
      <w:r/>
    </w:p>
    <w:p w14:paraId="40E212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545D5E8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Étapes</w:t>
      </w:r>
      <w:r/>
    </w:p>
    <w:p w14:paraId="45A37D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Résultat attendu</w:t>
      </w:r>
      <w:r/>
    </w:p>
    <w:p w14:paraId="1265270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Fichier pyprojetct.toml contenant une ébauche de l’environnement virtuel dans lequel le projet est développé.</w:t>
      </w:r>
      <w:r/>
    </w:p>
    <w:p w14:paraId="7398D8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Recommandations</w:t>
      </w:r>
      <w:r/>
    </w:p>
    <w:p w14:paraId="78F63B2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Privilégier l’utilisation du package uv. Le cas échéant, utiliser Poetry.</w:t>
      </w:r>
      <w:r/>
    </w:p>
    <w:p w14:paraId="22A6CA4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servir de la commande </w:t>
      </w:r>
      <w:r>
        <w:rPr>
          <w:rFonts w:ascii="Times New Roman" w:hAnsi="Times New Roman" w:eastAsia="Times New Roman" w:cs="Times New Roman"/>
          <w:b/>
          <w:color w:val="000000"/>
          <w:sz w:val="24"/>
        </w:rPr>
        <w:t xml:space="preserve">uv init</w:t>
      </w:r>
      <w:r>
        <w:rPr>
          <w:rFonts w:ascii="Times New Roman" w:hAnsi="Times New Roman" w:eastAsia="Times New Roman" w:cs="Times New Roman"/>
          <w:color w:val="000000"/>
          <w:sz w:val="24"/>
        </w:rPr>
        <w:t xml:space="preserve"> pour initier votre nouveau projet.</w:t>
      </w:r>
      <w:r/>
    </w:p>
    <w:p w14:paraId="64DC8D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Points de vigilance</w:t>
      </w:r>
      <w:r/>
    </w:p>
    <w:p w14:paraId="332461EA">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 pas réutiliser le même environnement virtuel et dossier de travail que ceux d’un projet précédent. Toutefois, vous pouvez dupliquer le fichier pyprojetct.toml et repartir de la même base.</w:t>
      </w:r>
      <w:r/>
    </w:p>
    <w:p w14:paraId="29F686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Ressources</w:t>
      </w:r>
      <w:r>
        <w:rPr>
          <w:rFonts w:ascii="Times New Roman" w:hAnsi="Times New Roman" w:eastAsia="Times New Roman" w:cs="Times New Roman"/>
          <w:color w:val="000000"/>
          <w:sz w:val="24"/>
        </w:rPr>
        <w:t xml:space="preserve"> </w:t>
      </w:r>
      <w:r/>
    </w:p>
    <w:p w14:paraId="3A097A30">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w:t>
      </w:r>
      <w:hyperlink r:id="rId15" w:tooltip="https://openclassrooms.com/fr/courses/8445356-mettez-en-place-votre-environnement-sous-poetry" w:history="1">
        <w:r>
          <w:rPr>
            <w:rStyle w:val="187"/>
            <w:rFonts w:ascii="Times New Roman" w:hAnsi="Times New Roman" w:eastAsia="Times New Roman" w:cs="Times New Roman"/>
            <w:color w:val="0000ee"/>
            <w:sz w:val="24"/>
            <w:u w:val="single"/>
          </w:rPr>
          <w:t xml:space="preserve">cours Mettez en place votre environnement sous Poetry</w:t>
        </w:r>
      </w:hyperlink>
      <w:r>
        <w:rPr>
          <w:rFonts w:ascii="Times New Roman" w:hAnsi="Times New Roman" w:eastAsia="Times New Roman" w:cs="Times New Roman"/>
          <w:color w:val="000000"/>
          <w:sz w:val="24"/>
        </w:rPr>
        <w:t xml:space="preserve"> pour mettre en place un environnement virtuel avec Poetry</w:t>
      </w:r>
      <w:r/>
    </w:p>
    <w:p w14:paraId="66012D49">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w:t>
      </w:r>
      <w:hyperlink r:id="rId16" w:tooltip="https://docs.astral.sh/uv/guides/projects/" w:history="1">
        <w:r>
          <w:rPr>
            <w:rStyle w:val="187"/>
            <w:rFonts w:ascii="Times New Roman" w:hAnsi="Times New Roman" w:eastAsia="Times New Roman" w:cs="Times New Roman"/>
            <w:color w:val="0000ee"/>
            <w:sz w:val="24"/>
            <w:u w:val="single"/>
          </w:rPr>
          <w:t xml:space="preserve">documentation </w:t>
        </w:r>
      </w:hyperlink>
      <w:r>
        <w:rPr>
          <w:rFonts w:ascii="Times New Roman" w:hAnsi="Times New Roman" w:eastAsia="Times New Roman" w:cs="Times New Roman"/>
          <w:color w:val="000000"/>
          <w:sz w:val="24"/>
        </w:rPr>
        <w:t xml:space="preserve">du package uv.</w:t>
      </w:r>
      <w:r/>
    </w:p>
    <w:p w14:paraId="71F94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Prérequis</w:t>
      </w:r>
      <w:r/>
    </w:p>
    <w:p w14:paraId="26C4C762">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Avoir préparé un environnement virtuel Python avec tous les packages spécifiés dans la partie importation du notebook template.</w:t>
      </w:r>
      <w:r/>
    </w:p>
    <w:p w14:paraId="1DE24EC9">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Avoir créé un notebook (via JupyterLab, Jupyter, VSCode ou Google Colab) dédié au projet.</w:t>
      </w:r>
      <w:r/>
    </w:p>
    <w:p w14:paraId="4C860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Résultats attendus</w:t>
      </w:r>
      <w:r/>
    </w:p>
    <w:p w14:paraId="62A52967">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DataFrame central, issu d’une jointure entre les fichiers de départ.</w:t>
      </w:r>
      <w:r/>
    </w:p>
    <w:p w14:paraId="0F91C0CF">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cellules au sein du notebook pour calculer des statistiques descriptives sur les fichiers de départ et le fichier central, dans l’objectif de faire ressortir des différences clés entre les employés.</w:t>
      </w:r>
      <w:r/>
    </w:p>
    <w:p w14:paraId="5D1D33B0">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cellules au sein du notebook pour générer des graphiques, dans l’objectif de faire ressortir des différences clés entre les employés.</w:t>
      </w:r>
      <w:r/>
    </w:p>
    <w:p w14:paraId="03CB53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Recommandations</w:t>
      </w:r>
      <w:r/>
    </w:p>
    <w:p w14:paraId="78DD214C">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Identifier et nettoyer les colonnes qui correspondent à des informations quantitatives ou qualitatives.</w:t>
      </w:r>
      <w:r/>
    </w:p>
    <w:p w14:paraId="1A0F4C1A">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Prendre l’habitude d’utiliser la méthode .apply() de Pandas pour nettoyer vos colonnes.</w:t>
      </w:r>
      <w:r/>
    </w:p>
    <w:p w14:paraId="448BC673">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Commencer par des statistiques descriptives simples sur chacun des trois fichiers.</w:t>
      </w:r>
      <w:r/>
    </w:p>
    <w:p w14:paraId="3FD08FD9">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Identifier les colonnes permettant de réaliser des jointures entre les 3 fichiers.</w:t>
      </w:r>
      <w:r/>
    </w:p>
    <w:p w14:paraId="2335B0B0">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Bien choisir le type de graphique en fonction des colonnes que vous voulez analyser (quanti vs quanti, quanti vs quali, quali vs quali, etc.).</w:t>
      </w:r>
      <w:r/>
    </w:p>
    <w:p w14:paraId="6C4C9D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Points de vigilance</w:t>
      </w:r>
      <w:r/>
    </w:p>
    <w:p w14:paraId="1C250CA6">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 pas se précipiter vers l’analyse avant d’avoir bien compris le libellé et le contenu des colonnes.</w:t>
      </w:r>
      <w:r/>
    </w:p>
    <w:p w14:paraId="1235FCB3">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Déterminer quel type de jointure sera le plus adapté pour rapprocher les fichiers (left, inner etc.).</w:t>
      </w:r>
      <w:r/>
    </w:p>
    <w:p w14:paraId="45416C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Ressources</w:t>
      </w:r>
      <w:r/>
    </w:p>
    <w:p w14:paraId="786DF75E">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chapitre </w:t>
      </w:r>
      <w:hyperlink r:id="rId17" w:tooltip="https://openclassrooms.com/fr/courses/8063076-initiez-vous-au-machine-learning/8299343-ameliorez-un-jeu-de-donnees" w:history="1">
        <w:r>
          <w:rPr>
            <w:rStyle w:val="187"/>
            <w:rFonts w:ascii="Times New Roman" w:hAnsi="Times New Roman" w:eastAsia="Times New Roman" w:cs="Times New Roman"/>
            <w:color w:val="0000ee"/>
            <w:sz w:val="24"/>
            <w:u w:val="single"/>
          </w:rPr>
          <w:t xml:space="preserve">Améliorez un jeu de données</w:t>
        </w:r>
      </w:hyperlink>
      <w:r>
        <w:rPr>
          <w:rFonts w:ascii="Times New Roman" w:hAnsi="Times New Roman" w:eastAsia="Times New Roman" w:cs="Times New Roman"/>
          <w:color w:val="000000"/>
          <w:sz w:val="24"/>
        </w:rPr>
        <w:t xml:space="preserve"> du cours d'initiation au ML.</w:t>
      </w:r>
      <w:r/>
    </w:p>
    <w:p w14:paraId="0066F012">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 </w:t>
      </w:r>
      <w:hyperlink r:id="rId18" w:tooltip="https://www.kaggle.com/code/pmarcelino/comprehensive-data-exploration-with-python" w:history="1">
        <w:r>
          <w:rPr>
            <w:rStyle w:val="187"/>
            <w:rFonts w:ascii="Times New Roman" w:hAnsi="Times New Roman" w:eastAsia="Times New Roman" w:cs="Times New Roman"/>
            <w:color w:val="0000ee"/>
            <w:sz w:val="24"/>
            <w:u w:val="single"/>
          </w:rPr>
          <w:t xml:space="preserve">notebook </w:t>
        </w:r>
      </w:hyperlink>
      <w:r>
        <w:rPr>
          <w:rFonts w:ascii="Times New Roman" w:hAnsi="Times New Roman" w:eastAsia="Times New Roman" w:cs="Times New Roman"/>
          <w:color w:val="000000"/>
          <w:sz w:val="24"/>
        </w:rPr>
        <w:t xml:space="preserve">exemple d’exploration de données en Python.</w:t>
      </w:r>
      <w:r/>
    </w:p>
    <w:p w14:paraId="1E8359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Prérequis</w:t>
      </w:r>
      <w:r/>
    </w:p>
    <w:p w14:paraId="1683B910">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Avoir finalisé l’étape 1.</w:t>
      </w:r>
      <w:r/>
    </w:p>
    <w:p w14:paraId="0F96D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Résultats attendus</w:t>
      </w:r>
      <w:r/>
    </w:p>
    <w:p w14:paraId="27426372">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DataFrame contenant vos features prêtes pour la modélisation (autrement dit : un DataFrame qui peut être injecté dans une méthode fit() de sklearn sans erreur). Ce DataFrame est traditionnellement appelé X.</w:t>
      </w:r>
      <w:r/>
    </w:p>
    <w:p w14:paraId="3DB7FFCC">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Pandas Series contenant votre colonne cible (traditionnellement appelée y).</w:t>
      </w:r>
      <w:r/>
    </w:p>
    <w:p w14:paraId="4E867A1F">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Idéalement, des fonctions Python permettant de réaliser les transformations sur le fichier central de l’étape 1 pour obtenir les deux données X et y. Le cas échéant, des cellules dans le notebook permettant de réaliser ces transformations.</w:t>
      </w:r>
      <w:r/>
    </w:p>
    <w:p w14:paraId="63DB39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Prenez l’habitude le plus rapidement possible d’utiliser des fonctions pour reproduire les opérations récurrentes dans les projets ML, comme le feature engineering par exemple.</w:t>
      </w:r>
      <w:r/>
    </w:p>
    <w:p w14:paraId="3D3E8B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387A80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Recommandations</w:t>
      </w:r>
      <w:r/>
    </w:p>
    <w:p w14:paraId="1DEC8A31">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Utiliser une matrice de corrélation de Pearson, pour éliminer les fortes corrélations linéaires entre features.</w:t>
      </w:r>
      <w:r/>
    </w:p>
    <w:p w14:paraId="6A075B1D">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Tracer un pairplot pour mesurer l’intensité des corrélations non-linéaires s’il y en a. Vous pouvez également compléter le pairplot avec une matrice de corrélation de Spearman.</w:t>
      </w:r>
      <w:r/>
    </w:p>
    <w:p w14:paraId="0D25DC3C">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Sélectionner une méthode d’encoding adaptée pour les features qualitatives en fonction de leur sens métier.</w:t>
      </w:r>
      <w:r/>
    </w:p>
    <w:p w14:paraId="731ACE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Points de vigilance</w:t>
      </w:r>
      <w:r/>
    </w:p>
    <w:p w14:paraId="36831691">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Bien comprendre quand utiliser un OneHotEncoder ou une autre méthode d’encodage pour les features qualitatives.</w:t>
      </w:r>
      <w:r/>
    </w:p>
    <w:p w14:paraId="7F8A3EBB">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Bien comprendre quels types de features peuvent être inclus dans le calcul d’une matrice de corrélation.</w:t>
      </w:r>
      <w:r/>
    </w:p>
    <w:p w14:paraId="6ABE6D03">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Déterminer quel type de jointure sera la plus adaptée pour rapprocher les fichiers (left, inner etc.).</w:t>
      </w:r>
      <w:r/>
    </w:p>
    <w:p w14:paraId="500ECD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Ressources</w:t>
      </w:r>
      <w:r/>
    </w:p>
    <w:p w14:paraId="21B26836">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w:t>
      </w:r>
      <w:hyperlink r:id="rId19" w:tooltip="https://openclassrooms.com/fr/courses/8063076-initiez-vous-au-machine-learning-1/8299647-transformez-les-variables-pour-faciliter-lapprentissage-du-modele" w:history="1">
        <w:r>
          <w:rPr>
            <w:rStyle w:val="187"/>
            <w:rFonts w:ascii="Times New Roman" w:hAnsi="Times New Roman" w:eastAsia="Times New Roman" w:cs="Times New Roman"/>
            <w:color w:val="0000ee"/>
            <w:sz w:val="24"/>
            <w:u w:val="single"/>
          </w:rPr>
          <w:t xml:space="preserve">chapitre Transformez les variables pour faciliter l’apprentissage du modèle </w:t>
        </w:r>
      </w:hyperlink>
      <w:r>
        <w:rPr>
          <w:rFonts w:ascii="Times New Roman" w:hAnsi="Times New Roman" w:eastAsia="Times New Roman" w:cs="Times New Roman"/>
          <w:color w:val="000000"/>
          <w:sz w:val="24"/>
        </w:rPr>
        <w:t xml:space="preserve">du cours </w:t>
      </w:r>
      <w:r>
        <w:rPr>
          <w:rFonts w:ascii="Times New Roman" w:hAnsi="Times New Roman" w:eastAsia="Times New Roman" w:cs="Times New Roman"/>
          <w:b/>
          <w:color w:val="000000"/>
          <w:sz w:val="24"/>
        </w:rPr>
        <w:t xml:space="preserve">Initiez-vous au Machine Learning</w:t>
      </w:r>
      <w:r>
        <w:rPr>
          <w:rFonts w:ascii="Times New Roman" w:hAnsi="Times New Roman" w:eastAsia="Times New Roman" w:cs="Times New Roman"/>
          <w:color w:val="000000"/>
          <w:sz w:val="24"/>
        </w:rPr>
        <w:t xml:space="preserve">  pour la partie encodage des features qualitatives</w:t>
      </w:r>
      <w:r/>
    </w:p>
    <w:p w14:paraId="69F7FFC2">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screencast pourtant sur la matrice de corrélation, issu du </w:t>
      </w:r>
      <w:hyperlink r:id="rId20" w:tooltip="https://openclassrooms.com/fr/courses/8431846-maitrisez-lapprentissage-supervise/8500956-preparez-vos-donnees-pour-un-modele-supervise" w:history="1">
        <w:r>
          <w:rPr>
            <w:rStyle w:val="187"/>
            <w:rFonts w:ascii="Times New Roman" w:hAnsi="Times New Roman" w:eastAsia="Times New Roman" w:cs="Times New Roman"/>
            <w:color w:val="0000ee"/>
            <w:sz w:val="24"/>
            <w:u w:val="single"/>
          </w:rPr>
          <w:t xml:space="preserve">chapitre Préparez vos données pour un modèle supervisé </w:t>
        </w:r>
      </w:hyperlink>
      <w:r>
        <w:rPr>
          <w:rFonts w:ascii="Times New Roman" w:hAnsi="Times New Roman" w:eastAsia="Times New Roman" w:cs="Times New Roman"/>
          <w:color w:val="000000"/>
          <w:sz w:val="24"/>
        </w:rPr>
        <w:t xml:space="preserve">du cours </w:t>
      </w:r>
      <w:r>
        <w:rPr>
          <w:rFonts w:ascii="Times New Roman" w:hAnsi="Times New Roman" w:eastAsia="Times New Roman" w:cs="Times New Roman"/>
          <w:b/>
          <w:color w:val="000000"/>
          <w:sz w:val="24"/>
        </w:rPr>
        <w:t xml:space="preserve">Maîtrisez l’apprentissage supervisé</w:t>
      </w:r>
      <w:r>
        <w:rPr>
          <w:rFonts w:ascii="Times New Roman" w:hAnsi="Times New Roman" w:eastAsia="Times New Roman" w:cs="Times New Roman"/>
          <w:color w:val="000000"/>
          <w:sz w:val="24"/>
        </w:rPr>
        <w:t xml:space="preserve">. </w:t>
      </w:r>
      <w:r/>
    </w:p>
    <w:p w14:paraId="3F94EE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Prérequis</w:t>
      </w:r>
      <w:r/>
    </w:p>
    <w:p w14:paraId="03108DAA">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Avoir réalisé l’étape 2.</w:t>
      </w:r>
      <w:r/>
    </w:p>
    <w:p w14:paraId="69783C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Résultats attendus</w:t>
      </w:r>
      <w:r/>
    </w:p>
    <w:p w14:paraId="131AA5FC">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jeux d’apprentissage et de test (traditionnellement nommés X_train, X_test, y_train, y_test).</w:t>
      </w:r>
      <w:r/>
    </w:p>
    <w:p w14:paraId="6C2DE391">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Trois modèles entraînés sur les jeux d’apprentissage : un modèle Dummy, un modèle linéaire, un modèle non-linéaire.</w:t>
      </w:r>
      <w:r/>
    </w:p>
    <w:p w14:paraId="7F371449">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métriques d’évaluation calculées pour chaque modèle, sur le jeu d’apprentissage et le jeu de test.</w:t>
      </w:r>
      <w:r/>
    </w:p>
    <w:p w14:paraId="37F18849">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cellules de code au sein du notebook, permettant d’obtenir les résultats attendus cités plus haut.</w:t>
      </w:r>
      <w:r/>
    </w:p>
    <w:p w14:paraId="75BF5E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Recommandations</w:t>
      </w:r>
      <w:r/>
    </w:p>
    <w:p w14:paraId="08F94E95">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Commencer par réaliser une séparation train test simple ou une validation croisée simple.</w:t>
      </w:r>
      <w:r/>
    </w:p>
    <w:p w14:paraId="219BDE19">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Commencer par entraîner d’abord un modèle Dummy, puis un modèle linéaire, avant d'entraîner un modèle non-linéaire. Cela vous permettra d’évaluer la difficulté et la “non-linéarité” du jeu de données.</w:t>
      </w:r>
      <w:r/>
    </w:p>
    <w:p w14:paraId="4891E299">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Concernant le modèle non-linéaire, nous recommandons d’utiliser des modèles à base d’arbre (RandomForest, XGBoost ou CatBoost sont les plus connus).</w:t>
      </w:r>
      <w:r/>
    </w:p>
    <w:p w14:paraId="6B318104">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minima, vous devez calculer les métriques d’évaluation incontournables en classification : matrice de confusion, rappel et précision. Le classification_report() de sklearn peut vous aider.</w:t>
      </w:r>
      <w:r/>
    </w:p>
    <w:p w14:paraId="69436B95">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Interpréter la performance du modèle sur la base des scores (présence d’overfit ou non, capacité d’éviter les faux positifs ou faux négatifs) et du modèle étalon Dummy.</w:t>
      </w:r>
      <w:r/>
    </w:p>
    <w:p w14:paraId="486672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Points de vigilance</w:t>
      </w:r>
      <w:r/>
    </w:p>
    <w:p w14:paraId="109C6763">
      <w:pPr>
        <w:pStyle w:val="66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Il est important de calculer les métriques d’évaluation sur le jeu d'apprentissage en plus du jeu de test. Sinon, vous n’allez pas pouvoir mesurer l’overfitting du modèle.</w:t>
      </w:r>
      <w:r/>
    </w:p>
    <w:p w14:paraId="1F095AB0">
      <w:pPr>
        <w:pStyle w:val="66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 pas confondre les métriques d’évaluation “accuracy” et “precision”.</w:t>
      </w:r>
      <w:r/>
    </w:p>
    <w:p w14:paraId="1C59E4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Ressources</w:t>
      </w:r>
      <w:r/>
    </w:p>
    <w:p w14:paraId="47FD6A89">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section sur le rappel des bases de la classification, dans le </w:t>
      </w:r>
      <w:hyperlink r:id="rId21" w:tooltip="https://openclassrooms.com/fr/courses/8431846-maitrisez-lapprentissage-supervise/8500811-decouvrez-les-concepts-cles" w:history="1">
        <w:r>
          <w:rPr>
            <w:rStyle w:val="187"/>
            <w:rFonts w:ascii="Times New Roman" w:hAnsi="Times New Roman" w:eastAsia="Times New Roman" w:cs="Times New Roman"/>
            <w:color w:val="0000ee"/>
            <w:sz w:val="24"/>
            <w:u w:val="single"/>
          </w:rPr>
          <w:t xml:space="preserve">chapitre Découvrez les concepts clés </w:t>
        </w:r>
      </w:hyperlink>
      <w:r>
        <w:rPr>
          <w:rFonts w:ascii="Times New Roman" w:hAnsi="Times New Roman" w:eastAsia="Times New Roman" w:cs="Times New Roman"/>
          <w:color w:val="000000"/>
          <w:sz w:val="24"/>
        </w:rPr>
        <w:t xml:space="preserve">du cours </w:t>
      </w:r>
      <w:r>
        <w:rPr>
          <w:rFonts w:ascii="Times New Roman" w:hAnsi="Times New Roman" w:eastAsia="Times New Roman" w:cs="Times New Roman"/>
          <w:b/>
          <w:color w:val="000000"/>
          <w:sz w:val="24"/>
        </w:rPr>
        <w:t xml:space="preserve">Maîtrisez l’apprentissage supervisé</w:t>
      </w:r>
      <w:r/>
    </w:p>
    <w:p w14:paraId="77A930C3">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w:t>
      </w:r>
      <w:hyperlink r:id="rId22" w:tooltip="https://openclassrooms.com/fr/courses/8431846-maitrisez-lapprentissage-supervise/8501181-commencez-par-un-modele-etalon-ou-benchmark" w:history="1">
        <w:r>
          <w:rPr>
            <w:rStyle w:val="187"/>
            <w:rFonts w:ascii="Times New Roman" w:hAnsi="Times New Roman" w:eastAsia="Times New Roman" w:cs="Times New Roman"/>
            <w:color w:val="0000ee"/>
            <w:sz w:val="24"/>
            <w:u w:val="single"/>
          </w:rPr>
          <w:t xml:space="preserve">chapitre Commencez par un modèle étalon ou "benchmark" </w:t>
        </w:r>
      </w:hyperlink>
      <w:r>
        <w:rPr>
          <w:rFonts w:ascii="Times New Roman" w:hAnsi="Times New Roman" w:eastAsia="Times New Roman" w:cs="Times New Roman"/>
          <w:color w:val="000000"/>
          <w:sz w:val="24"/>
        </w:rPr>
        <w:t xml:space="preserve">sur l’importance d’un modèle étalon.</w:t>
      </w:r>
      <w:r/>
    </w:p>
    <w:p w14:paraId="769A58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Prérequis</w:t>
      </w:r>
      <w:r/>
    </w:p>
    <w:p w14:paraId="22463846">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Avoir terminé l’étape 3.</w:t>
      </w:r>
      <w:r/>
    </w:p>
    <w:p w14:paraId="570645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Résultat attendu</w:t>
      </w:r>
      <w:r/>
    </w:p>
    <w:p w14:paraId="62D330DA">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 modélisation qui tient compte du déséquilibre des classes de votre jeu de données ainsi que du contexte métier. A savoir : </w:t>
      </w:r>
      <w:r/>
    </w:p>
    <w:p w14:paraId="44871730">
      <w:pPr>
        <w:pStyle w:val="668"/>
        <w:numPr>
          <w:ilvl w:val="1"/>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jeux d’apprentissage et de test (traditionnellement nommés X_train, X_test, y_train, y_test) issus d’une stratification et avec des features supplémentaires par rapport aux données d’origine.</w:t>
      </w:r>
      <w:r/>
    </w:p>
    <w:p w14:paraId="108B33B7">
      <w:pPr>
        <w:pStyle w:val="668"/>
        <w:numPr>
          <w:ilvl w:val="1"/>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modèle non-linéaire entraîné sur le jeu d’apprentissage et testé sur le jeu de test.</w:t>
      </w:r>
      <w:r/>
    </w:p>
    <w:p w14:paraId="5FBDC317">
      <w:pPr>
        <w:pStyle w:val="668"/>
        <w:numPr>
          <w:ilvl w:val="1"/>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métriques et graphiques d’évaluation calculés en validation croisée et interprétés de manière cohérente avec le contexte métier.</w:t>
      </w:r>
      <w:r/>
    </w:p>
    <w:p w14:paraId="75FFBC75">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cellules de code au sein du notebook, permettant d’obtenir les résultats attendus cités plus haut.</w:t>
      </w:r>
      <w:r/>
    </w:p>
    <w:p w14:paraId="7096EC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Recommandations</w:t>
      </w:r>
      <w:r/>
    </w:p>
    <w:p w14:paraId="35FE3861">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Avant toute implémentation en code, mettre sur le papier votre approche de modélisation. C’est-à-dire : avec quelle méthodologie je découpe mon jeu de données en apprentissage et test, de quelles métriques d’évaluation je vais avoir besoin etc.</w:t>
      </w:r>
      <w:r/>
    </w:p>
    <w:p w14:paraId="0843E212">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Capitaliser sur les fonctions existantes dans sklearn et privilégier leur utilisation (notamment pour la stratification), à moins que votre méthodologie soit très personnalisée.</w:t>
      </w:r>
      <w:r/>
    </w:p>
    <w:p w14:paraId="6E4E8CA5">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Pendant votre validation croisée, stocker les métriques de chaque itération de Fold dans une liste. Il est très utile de calculer une moyenne ainsi qu’un écart-type sur ces listes. Cela vous donnera une bonne indication sur l’existence ou non d’un overfit,</w:t>
      </w:r>
      <w:r>
        <w:rPr>
          <w:rFonts w:ascii="Times New Roman" w:hAnsi="Times New Roman" w:eastAsia="Times New Roman" w:cs="Times New Roman"/>
          <w:color w:val="000000"/>
          <w:sz w:val="24"/>
        </w:rPr>
        <w:t xml:space="preserve"> ainsi que la capacité d’un modèle à généraliser son apprentissage à de nouvelles données.</w:t>
      </w:r>
      <w:r/>
    </w:p>
    <w:p w14:paraId="38178CBC">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Utiliser la courbe précision rappel pour déterminer le seuil optimal que doit utiliser votre modèle pour classifier vos observations.</w:t>
      </w:r>
      <w:r/>
    </w:p>
    <w:p w14:paraId="6739B362">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 vous êtes déjà à l’aise au niveau du code pour utiliser les différents concepts et librairies, vous pouvez vous intéresser aux fonctionnalités pipelines de sklearn pour mieux organiser vos modélisations.</w:t>
      </w:r>
      <w:r/>
    </w:p>
    <w:p w14:paraId="74CA7357">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 fois les étapes précédentes sécurisées, réaliser du feature engineering pour tenter d’améliorer les performances de votre modèle.</w:t>
      </w:r>
      <w:r/>
    </w:p>
    <w:p w14:paraId="4ED0C8BA">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Utiliser des modèles non-linéaires où l’on peut pondérer l’importance des classes (avec l’hyperparamètre class_weights)</w:t>
      </w:r>
      <w:r/>
    </w:p>
    <w:p w14:paraId="1718295A">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 les efforts précédents ne suffisent pas pour obtenir une performance suffisante, implémenter des méthodes d’undersampling ou d’oversampling en utilisant le package imblearn.</w:t>
      </w:r>
      <w:r/>
    </w:p>
    <w:p w14:paraId="058106B8">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Interpréter de nouveau la performance du modèle.</w:t>
      </w:r>
      <w:r/>
    </w:p>
    <w:p w14:paraId="4E0D21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Points de vigilance</w:t>
      </w:r>
      <w:r/>
    </w:p>
    <w:p w14:paraId="7EBB9F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3E93AA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Vous allez rentrer dans une phase très itérative où vous allez tester plusieurs pistes d’amélioration différentes (feature engineering, test de modèles, augmentation de la données…). Gardez votre code organisé en section pour bien séparer vos différentes e</w:t>
      </w:r>
      <w:r>
        <w:rPr>
          <w:rFonts w:ascii="Times New Roman" w:hAnsi="Times New Roman" w:eastAsia="Times New Roman" w:cs="Times New Roman"/>
          <w:color w:val="000000"/>
          <w:sz w:val="24"/>
        </w:rPr>
        <w:t xml:space="preserve">xpérimentations. Il est particulièrement utile d’utiliser des fonctions pour encapsuler les analyses récurrentes, telles que la comparaison des modèles. </w:t>
      </w:r>
      <w:r/>
    </w:p>
    <w:p w14:paraId="7C95EA79">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Nuancez votre interprétation de la performance du modèle en fonction du contexte métier. Par exemple, demandez-vous si éviter des faux positifs est plus important qu’éviter des faux négatifs.</w:t>
      </w:r>
      <w:r/>
    </w:p>
    <w:p w14:paraId="74F39A74">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Attention à l’impact du déséquilibre des classes sur l’interprétation de certaines métriques très utilisées, comme l’accuracy ou encore la courbe ROC et son AUC.</w:t>
      </w:r>
      <w:r/>
    </w:p>
    <w:p w14:paraId="7FC9F9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Ressources</w:t>
      </w:r>
      <w:r/>
    </w:p>
    <w:p w14:paraId="55C2E7BD">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partie feature engineering du </w:t>
      </w:r>
      <w:hyperlink r:id="rId23" w:tooltip="https://openclassrooms.com/fr/courses/8431846-maitrisez-lapprentissage-supervise/8500956-preparez-vos-donnees-pour-un-modele-supervise" w:history="1">
        <w:r>
          <w:rPr>
            <w:rStyle w:val="187"/>
            <w:rFonts w:ascii="Times New Roman" w:hAnsi="Times New Roman" w:eastAsia="Times New Roman" w:cs="Times New Roman"/>
            <w:color w:val="0000ee"/>
            <w:sz w:val="24"/>
            <w:u w:val="single"/>
          </w:rPr>
          <w:t xml:space="preserve">chapitre Préparez vos données pour un modèle supervisé </w:t>
        </w:r>
      </w:hyperlink>
      <w:r>
        <w:rPr>
          <w:rFonts w:ascii="Times New Roman" w:hAnsi="Times New Roman" w:eastAsia="Times New Roman" w:cs="Times New Roman"/>
          <w:color w:val="000000"/>
          <w:sz w:val="24"/>
        </w:rPr>
        <w:t xml:space="preserve">du cours </w:t>
      </w:r>
      <w:r>
        <w:rPr>
          <w:rFonts w:ascii="Times New Roman" w:hAnsi="Times New Roman" w:eastAsia="Times New Roman" w:cs="Times New Roman"/>
          <w:b/>
          <w:color w:val="000000"/>
          <w:sz w:val="24"/>
        </w:rPr>
        <w:t xml:space="preserve">Maîtrisez l’apprentissage supervisé</w:t>
      </w:r>
      <w:r/>
    </w:p>
    <w:p w14:paraId="41B36413">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w:t>
      </w:r>
      <w:hyperlink r:id="rId24" w:tooltip="https://openclassrooms.com/fr/courses/8431846-maitrisez-lapprentissage-supervise/8501411-evaluez-de-maniere-plus-poussee-vos-modeles-de-classification" w:history="1">
        <w:r>
          <w:rPr>
            <w:rStyle w:val="187"/>
            <w:rFonts w:ascii="Times New Roman" w:hAnsi="Times New Roman" w:eastAsia="Times New Roman" w:cs="Times New Roman"/>
            <w:color w:val="0000ee"/>
            <w:sz w:val="24"/>
            <w:u w:val="single"/>
          </w:rPr>
          <w:t xml:space="preserve">chapitre Evaluez de manière plus poussée vos modèles de classification </w:t>
        </w:r>
      </w:hyperlink>
      <w:r>
        <w:rPr>
          <w:rFonts w:ascii="Times New Roman" w:hAnsi="Times New Roman" w:eastAsia="Times New Roman" w:cs="Times New Roman"/>
          <w:color w:val="000000"/>
          <w:sz w:val="24"/>
        </w:rPr>
        <w:t xml:space="preserve">du cours </w:t>
      </w:r>
      <w:r>
        <w:rPr>
          <w:rFonts w:ascii="Times New Roman" w:hAnsi="Times New Roman" w:eastAsia="Times New Roman" w:cs="Times New Roman"/>
          <w:b/>
          <w:color w:val="000000"/>
          <w:sz w:val="24"/>
        </w:rPr>
        <w:t xml:space="preserve">Maîtrisez l’apprentissage supervisé</w:t>
      </w:r>
      <w:r>
        <w:rPr>
          <w:rFonts w:ascii="Times New Roman" w:hAnsi="Times New Roman" w:eastAsia="Times New Roman" w:cs="Times New Roman"/>
          <w:color w:val="000000"/>
          <w:sz w:val="24"/>
        </w:rPr>
        <w:t xml:space="preserve"> sur la classification</w:t>
      </w:r>
      <w:r/>
    </w:p>
    <w:p w14:paraId="0620C4B4">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Éventuellement, ces deux ressources sur l’équilibrage des classes par augmentation ou diminution de la donnée :</w:t>
      </w:r>
      <w:r/>
    </w:p>
    <w:p w14:paraId="59BA613C">
      <w:pPr>
        <w:pStyle w:val="668"/>
        <w:numPr>
          <w:ilvl w:val="1"/>
          <w:numId w:val="28"/>
        </w:numPr>
        <w:pBdr>
          <w:top w:val="none" w:color="000000" w:sz="4" w:space="0"/>
          <w:left w:val="none" w:color="000000" w:sz="4" w:space="0"/>
          <w:bottom w:val="none" w:color="000000" w:sz="4" w:space="0"/>
          <w:right w:val="none" w:color="000000" w:sz="4" w:space="0"/>
        </w:pBdr>
        <w:spacing/>
        <w:ind w:right="0"/>
        <w:rPr/>
      </w:pPr>
      <w:r/>
      <w:hyperlink r:id="rId25" w:tooltip="https://machinelearningmastery.com/undersampling-algorithms-for-imbalanced-classification/" w:history="1">
        <w:r>
          <w:rPr>
            <w:rStyle w:val="187"/>
            <w:rFonts w:ascii="Times New Roman" w:hAnsi="Times New Roman" w:eastAsia="Times New Roman" w:cs="Times New Roman"/>
            <w:color w:val="0000ee"/>
            <w:sz w:val="24"/>
            <w:u w:val="single"/>
          </w:rPr>
          <w:t xml:space="preserve">Tutoriel </w:t>
        </w:r>
      </w:hyperlink>
      <w:r>
        <w:rPr>
          <w:rFonts w:ascii="Times New Roman" w:hAnsi="Times New Roman" w:eastAsia="Times New Roman" w:cs="Times New Roman"/>
          <w:color w:val="000000"/>
          <w:sz w:val="24"/>
        </w:rPr>
        <w:t xml:space="preserve">sur l’undersampling</w:t>
      </w:r>
      <w:r/>
    </w:p>
    <w:p w14:paraId="577DAE11">
      <w:pPr>
        <w:pStyle w:val="668"/>
        <w:numPr>
          <w:ilvl w:val="1"/>
          <w:numId w:val="28"/>
        </w:numPr>
        <w:pBdr>
          <w:top w:val="none" w:color="000000" w:sz="4" w:space="0"/>
          <w:left w:val="none" w:color="000000" w:sz="4" w:space="0"/>
          <w:bottom w:val="none" w:color="000000" w:sz="4" w:space="0"/>
          <w:right w:val="none" w:color="000000" w:sz="4" w:space="0"/>
        </w:pBdr>
        <w:spacing/>
        <w:ind w:right="0"/>
        <w:rPr/>
      </w:pPr>
      <w:r/>
      <w:hyperlink r:id="rId26" w:tooltip="https://machinelearningmastery.com/smote-oversampling-for-imbalanced-classification/" w:history="1">
        <w:r>
          <w:rPr>
            <w:rStyle w:val="187"/>
            <w:rFonts w:ascii="Times New Roman" w:hAnsi="Times New Roman" w:eastAsia="Times New Roman" w:cs="Times New Roman"/>
            <w:color w:val="0000ee"/>
            <w:sz w:val="24"/>
            <w:u w:val="single"/>
          </w:rPr>
          <w:t xml:space="preserve">Tutoriel </w:t>
        </w:r>
      </w:hyperlink>
      <w:r>
        <w:rPr>
          <w:rFonts w:ascii="Times New Roman" w:hAnsi="Times New Roman" w:eastAsia="Times New Roman" w:cs="Times New Roman"/>
          <w:color w:val="000000"/>
          <w:sz w:val="24"/>
        </w:rPr>
        <w:t xml:space="preserve">sur l’oversampling.</w:t>
      </w:r>
      <w:r/>
    </w:p>
    <w:p w14:paraId="3A7C2D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Prérequis</w:t>
      </w:r>
      <w:r/>
    </w:p>
    <w:p w14:paraId="375C4CB4">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Avoir terminé l’étape 4.</w:t>
      </w:r>
      <w:r/>
    </w:p>
    <w:p w14:paraId="5E62D4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Résultat attendu</w:t>
      </w:r>
      <w:r/>
    </w:p>
    <w:p w14:paraId="27A8F845">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modèle non linéaire issu d’un process de fine-tuning.</w:t>
      </w:r>
      <w:r/>
    </w:p>
    <w:p w14:paraId="75D341BF">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graphiques permettant de comprendre l’impact des features sur le modèle, sur le plan global comme local.</w:t>
      </w:r>
      <w:r/>
    </w:p>
    <w:p w14:paraId="28910CA1">
      <w:pPr>
        <w:pStyle w:val="66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cellules de code au sein de Jupyter permettant de : </w:t>
      </w:r>
      <w:r/>
    </w:p>
    <w:p w14:paraId="02A43ABF">
      <w:pPr>
        <w:pStyle w:val="668"/>
        <w:numPr>
          <w:ilvl w:val="1"/>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Lancer une recherche d’hyperparamètres pour fine-tuner le modèle,</w:t>
      </w:r>
      <w:r/>
    </w:p>
    <w:p w14:paraId="6DB9B18F">
      <w:pPr>
        <w:pStyle w:val="668"/>
        <w:numPr>
          <w:ilvl w:val="1"/>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Lancer le calcul des features importances locale et globale.</w:t>
      </w:r>
      <w:r/>
    </w:p>
    <w:p w14:paraId="5942E8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Recommandations</w:t>
      </w:r>
      <w:r/>
    </w:p>
    <w:p w14:paraId="5DD47AD2">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Reprenez les mêmes principes que le projet 3 (si vous suivez ce parcours dans sa totalité) pour le fine-tuning.</w:t>
      </w:r>
      <w:r/>
    </w:p>
    <w:p w14:paraId="265EBC62">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Commencez d’abord par la feature importance globale, moins complexe, avant de passer à la locale.</w:t>
      </w:r>
      <w:r/>
    </w:p>
    <w:p w14:paraId="2266AC9D">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Comparez plusieurs méthodes de feature importance globale et analysez leur points de convergence et de divergence. Vous pouvez comparer à minima la Permutation Importance de sklearn avec le Beeswarm Plot du package SHAP. Si votre modèle optimisé est à base</w:t>
      </w:r>
      <w:r>
        <w:rPr>
          <w:rFonts w:ascii="Times New Roman" w:hAnsi="Times New Roman" w:eastAsia="Times New Roman" w:cs="Times New Roman"/>
          <w:color w:val="000000"/>
          <w:sz w:val="24"/>
        </w:rPr>
        <w:t xml:space="preserve"> d’arbre, vous pouvez également inclure sa feature importance native dans la comparaison.</w:t>
      </w:r>
      <w:r/>
    </w:p>
    <w:p w14:paraId="0E045614">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 vous utilisez un modèle à base d’arbre, privilégiez l’utilisation du TreeExplainer du package SHAP. Sinon, vous pouvez utiliser le KernelExplainer, plus généraliste.</w:t>
      </w:r>
      <w:r/>
    </w:p>
    <w:p w14:paraId="1220E07C">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Assurez-vous de bien comprendre le sens des Shapley values en utilisant la fonction shap.plots.scatter() et son argument “color”.</w:t>
      </w:r>
      <w:r/>
    </w:p>
    <w:p w14:paraId="7D93B3C3">
      <w:pPr>
        <w:pStyle w:val="66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Pour la feature importance locale, utilisez le Waterfall Plot. Choisissez quelques exemples issus des 2 classes.</w:t>
      </w:r>
      <w:r/>
    </w:p>
    <w:p w14:paraId="618E03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Points de vigilance</w:t>
      </w:r>
      <w:r/>
    </w:p>
    <w:p w14:paraId="0419A030">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Afin d’éviter des allers-retours peu pertinents dans votre démarche, commencez d’abord par la partie fine-tuning avant de passer à la partie interprétation.</w:t>
      </w:r>
      <w:r/>
    </w:p>
    <w:p w14:paraId="38083168">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Évitez les autres packages de feature importance locale comme LIME. Leur fiabilité est inférieure à celle de SHAP.</w:t>
      </w:r>
      <w:r/>
    </w:p>
    <w:p w14:paraId="43AFEEE7">
      <w:pPr>
        <w:pStyle w:val="66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Bien comprendre le sens des Shapley values avant de vous précipiter vers leur interprétation. Vous pouvez vous référer au chapitre de cours dans la section Ressources.</w:t>
      </w:r>
      <w:r/>
    </w:p>
    <w:p w14:paraId="54C39C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Ressource</w:t>
      </w:r>
      <w:r/>
    </w:p>
    <w:p w14:paraId="28D3D87F">
      <w:pPr>
        <w:pStyle w:val="66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w:t>
      </w:r>
      <w:hyperlink r:id="rId27" w:tooltip="https://openclassrooms.com/fr/courses/8431846-maitrisez-lapprentissage-supervise/8501746-donnez-de-la-transparence-a-votre-modele-supervise" w:history="1">
        <w:r>
          <w:rPr>
            <w:rStyle w:val="187"/>
            <w:rFonts w:ascii="Times New Roman" w:hAnsi="Times New Roman" w:eastAsia="Times New Roman" w:cs="Times New Roman"/>
            <w:color w:val="0000ee"/>
            <w:sz w:val="24"/>
            <w:u w:val="single"/>
          </w:rPr>
          <w:t xml:space="preserve">chapitre Donnez de la transparence à votre modèle supervisé</w:t>
        </w:r>
      </w:hyperlink>
      <w:r>
        <w:rPr>
          <w:rFonts w:ascii="Times New Roman" w:hAnsi="Times New Roman" w:eastAsia="Times New Roman" w:cs="Times New Roman"/>
          <w:color w:val="000000"/>
          <w:sz w:val="24"/>
        </w:rPr>
        <w:t xml:space="preserve"> sur la feature importance globale et locale du cours </w:t>
      </w:r>
      <w:r>
        <w:rPr>
          <w:rFonts w:ascii="Times New Roman" w:hAnsi="Times New Roman" w:eastAsia="Times New Roman" w:cs="Times New Roman"/>
          <w:b/>
          <w:color w:val="000000"/>
          <w:sz w:val="24"/>
        </w:rPr>
        <w:t xml:space="preserve">Maîtrisez l’apprentissage supervisé.</w:t>
      </w:r>
      <w:r/>
    </w:p>
    <w:p w14:paraId="159952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Prérequis</w:t>
      </w:r>
      <w:r/>
    </w:p>
    <w:p w14:paraId="67F69CA8">
      <w:pPr>
        <w:pStyle w:val="66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Avoir finalisé l’étape 5.</w:t>
      </w:r>
      <w:r/>
    </w:p>
    <w:p w14:paraId="4B80EE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Résultat attendu</w:t>
      </w:r>
      <w:r/>
    </w:p>
    <w:p w14:paraId="1DF56C00">
      <w:pPr>
        <w:pStyle w:val="66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 présentation au format .ppt contenant :</w:t>
      </w:r>
      <w:r/>
    </w:p>
    <w:p w14:paraId="2FF96B7E">
      <w:pPr>
        <w:pStyle w:val="668"/>
        <w:numPr>
          <w:ilvl w:val="1"/>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hypothèses de préparation de la donnée ;</w:t>
      </w:r>
      <w:r/>
    </w:p>
    <w:p w14:paraId="6AA48790">
      <w:pPr>
        <w:pStyle w:val="668"/>
        <w:numPr>
          <w:ilvl w:val="1"/>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insights clés issus de la phase d’analyse exploratoire ;</w:t>
      </w:r>
      <w:r/>
    </w:p>
    <w:p w14:paraId="17DFBAA5">
      <w:pPr>
        <w:pStyle w:val="668"/>
        <w:numPr>
          <w:ilvl w:val="1"/>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méthodologie de modélisation finale et les indicateurs clés de fiabilité du modèle ;</w:t>
      </w:r>
      <w:r/>
    </w:p>
    <w:p w14:paraId="78F34717">
      <w:pPr>
        <w:pStyle w:val="668"/>
        <w:numPr>
          <w:ilvl w:val="1"/>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Les insights clés sur les causes d’attrition, issus de l’utilisation de la feature importance globale ;</w:t>
      </w:r>
      <w:r/>
    </w:p>
    <w:p w14:paraId="19C69F0E">
      <w:pPr>
        <w:pStyle w:val="668"/>
        <w:numPr>
          <w:ilvl w:val="1"/>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exemples d’explication de causes d’attrition, en utilisant la feature importance locale.</w:t>
      </w:r>
      <w:r/>
    </w:p>
    <w:p w14:paraId="28E868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Recommandations</w:t>
      </w:r>
      <w:r/>
    </w:p>
    <w:p w14:paraId="54B994CB">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Rappelez brièvement le contenu des 3 jeux de données initiaux et comment vous avez réalisé le rapprochement.</w:t>
      </w:r>
      <w:r/>
    </w:p>
    <w:p w14:paraId="03DC4821">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Parmi l’ensemble de vos analyses descriptives, sélectionnez les messages les plus impactants. Dans le temps imparti en soutenance, vous n’aurez pas le temps de présenter l’ensemble de vos analyses.</w:t>
      </w:r>
      <w:r/>
    </w:p>
    <w:p w14:paraId="1B3FF2BE">
      <w:pPr>
        <w:pStyle w:val="66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Traduisez votre travail avec la feature importance globale et locale en explications compréhensibles par une audience non-technique.</w:t>
      </w:r>
      <w:r/>
    </w:p>
    <w:p w14:paraId="2F547F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Ressources</w:t>
      </w:r>
      <w:r/>
    </w:p>
    <w:p w14:paraId="77102886">
      <w:pPr>
        <w:pStyle w:val="66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cours OpenClassrooms </w:t>
      </w:r>
      <w:hyperlink r:id="rId28" w:tooltip="https://openclassrooms.com/fr/courses/5238041-communiquez-et-formalisez-vos-idees-par-le-storytelling" w:history="1">
        <w:r>
          <w:rPr>
            <w:rStyle w:val="187"/>
            <w:rFonts w:ascii="Times New Roman" w:hAnsi="Times New Roman" w:eastAsia="Times New Roman" w:cs="Times New Roman"/>
            <w:color w:val="0000ee"/>
            <w:sz w:val="24"/>
            <w:u w:val="single"/>
          </w:rPr>
          <w:t xml:space="preserve">Communiquez et formalisez vos idées par le storytelling.</w:t>
        </w:r>
      </w:hyperlink>
      <w:r/>
      <w:r/>
    </w:p>
    <w:p w14:paraId="6AEE383B">
      <w:pPr>
        <w:pStyle w:val="66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cours OpenClassrooms </w:t>
      </w:r>
      <w:hyperlink r:id="rId29" w:tooltip="https://openclassrooms.com/fr/courses/3013891-ameliorez-limpact-de-vos-presentations" w:history="1">
        <w:r>
          <w:rPr>
            <w:rStyle w:val="187"/>
            <w:rFonts w:ascii="Times New Roman" w:hAnsi="Times New Roman" w:eastAsia="Times New Roman" w:cs="Times New Roman"/>
            <w:color w:val="0000ee"/>
            <w:sz w:val="24"/>
            <w:u w:val="single"/>
          </w:rPr>
          <w:t xml:space="preserve">Améliorez l'impact de vos présentations</w:t>
        </w:r>
      </w:hyperlink>
      <w:r/>
      <w:r/>
    </w:p>
    <w:p w14:paraId="75FC98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Pour vérifier que vous n’avez rien oublié dans la réalisation de votre exercice, téléchargez et complétez </w:t>
      </w:r>
      <w:hyperlink r:id="rId30" w:tooltip="https://s3.eu-west-1.amazonaws.com/course.oc-static.com/projects/1047_Data+Scientist+ML/P4_DSML_1047/Projet+4+-+Fiche+d'auto-e%CC%81valuation-editable.pdf" w:history="1">
        <w:r>
          <w:rPr>
            <w:rStyle w:val="187"/>
            <w:rFonts w:ascii="Times New Roman" w:hAnsi="Times New Roman" w:eastAsia="Times New Roman" w:cs="Times New Roman"/>
            <w:color w:val="0000ee"/>
            <w:sz w:val="24"/>
            <w:u w:val="single"/>
          </w:rPr>
          <w:t xml:space="preserve">la fiche d’autoévaluation.</w:t>
        </w:r>
      </w:hyperlink>
      <w:r/>
      <w:r/>
    </w:p>
    <w:p w14:paraId="40EF2E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14:paraId="2FF966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Parlez-en avec votre mentor durant votre dernière session de mentorat.</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22F1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D96C6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DD8E9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F8BB5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A99BA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A46D2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BA3EF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8C734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FC408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AF12A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F879A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7F5BF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104CF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19BA8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CAA73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91213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4EF87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293B4B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040B6C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7F9E8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25EFC3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7A5E1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51C250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8DADE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FC314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349246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3207B1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D9A98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B25E2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DC8BC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4A82CA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08252D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67396B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5628D2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0D0A50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47D752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007435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s3.eu-west-1.amazonaws.com/course.oc-static.com/projects/1047_Data+Scientist+ML/P4_DSML_1047/extrait_sirh.csv" TargetMode="External"/><Relationship Id="rId12" Type="http://schemas.openxmlformats.org/officeDocument/2006/relationships/hyperlink" Target="https://s3.eu-west-1.amazonaws.com/course.oc-static.com/projects/1047_Data+Scientist+ML/P4_DSML_1047/extrait_eval.csv" TargetMode="External"/><Relationship Id="rId13" Type="http://schemas.openxmlformats.org/officeDocument/2006/relationships/hyperlink" Target="https://s3.eu-west-1.amazonaws.com/course.oc-static.com/projects/1047_Data+Scientist+ML/P4_DSML_1047/extrait_sondage.csv" TargetMode="External"/><Relationship Id="rId14" Type="http://schemas.openxmlformats.org/officeDocument/2006/relationships/image" Target="media/image3.png"/><Relationship Id="rId15" Type="http://schemas.openxmlformats.org/officeDocument/2006/relationships/hyperlink" Target="https://openclassrooms.com/fr/courses/8445356-mettez-en-place-votre-environnement-sous-poetry" TargetMode="External"/><Relationship Id="rId16" Type="http://schemas.openxmlformats.org/officeDocument/2006/relationships/hyperlink" Target="https://docs.astral.sh/uv/guides/projects/" TargetMode="External"/><Relationship Id="rId17" Type="http://schemas.openxmlformats.org/officeDocument/2006/relationships/hyperlink" Target="https://openclassrooms.com/fr/courses/8063076-initiez-vous-au-machine-learning/8299343-ameliorez-un-jeu-de-donnees" TargetMode="External"/><Relationship Id="rId18" Type="http://schemas.openxmlformats.org/officeDocument/2006/relationships/hyperlink" Target="https://www.kaggle.com/code/pmarcelino/comprehensive-data-exploration-with-python" TargetMode="External"/><Relationship Id="rId19" Type="http://schemas.openxmlformats.org/officeDocument/2006/relationships/hyperlink" Target="https://openclassrooms.com/fr/courses/8063076-initiez-vous-au-machine-learning-1/8299647-transformez-les-variables-pour-faciliter-lapprentissage-du-modele" TargetMode="External"/><Relationship Id="rId20" Type="http://schemas.openxmlformats.org/officeDocument/2006/relationships/hyperlink" Target="https://openclassrooms.com/fr/courses/8431846-maitrisez-lapprentissage-supervise/8500956-preparez-vos-donnees-pour-un-modele-supervise" TargetMode="External"/><Relationship Id="rId21" Type="http://schemas.openxmlformats.org/officeDocument/2006/relationships/hyperlink" Target="https://openclassrooms.com/fr/courses/8431846-maitrisez-lapprentissage-supervise/8500811-decouvrez-les-concepts-cles" TargetMode="External"/><Relationship Id="rId22" Type="http://schemas.openxmlformats.org/officeDocument/2006/relationships/hyperlink" Target="https://openclassrooms.com/fr/courses/8431846-maitrisez-lapprentissage-supervise/8501181-commencez-par-un-modele-etalon-ou-benchmark" TargetMode="External"/><Relationship Id="rId23" Type="http://schemas.openxmlformats.org/officeDocument/2006/relationships/hyperlink" Target="https://openclassrooms.com/fr/courses/8431846-maitrisez-lapprentissage-supervise/8500956-preparez-vos-donnees-pour-un-modele-supervise" TargetMode="External"/><Relationship Id="rId24" Type="http://schemas.openxmlformats.org/officeDocument/2006/relationships/hyperlink" Target="https://openclassrooms.com/fr/courses/8431846-maitrisez-lapprentissage-supervise/8501411-evaluez-de-maniere-plus-poussee-vos-modeles-de-classification" TargetMode="External"/><Relationship Id="rId25" Type="http://schemas.openxmlformats.org/officeDocument/2006/relationships/hyperlink" Target="https://machinelearningmastery.com/undersampling-algorithms-for-imbalanced-classification/" TargetMode="External"/><Relationship Id="rId26" Type="http://schemas.openxmlformats.org/officeDocument/2006/relationships/hyperlink" Target="https://machinelearningmastery.com/smote-oversampling-for-imbalanced-classification/" TargetMode="External"/><Relationship Id="rId27" Type="http://schemas.openxmlformats.org/officeDocument/2006/relationships/hyperlink" Target="https://openclassrooms.com/fr/courses/8431846-maitrisez-lapprentissage-supervise/8501746-donnez-de-la-transparence-a-votre-modele-supervise" TargetMode="External"/><Relationship Id="rId28" Type="http://schemas.openxmlformats.org/officeDocument/2006/relationships/hyperlink" Target="https://openclassrooms.com/fr/courses/5238041-communiquez-et-formalisez-vos-idees-par-le-storytelling" TargetMode="External"/><Relationship Id="rId29" Type="http://schemas.openxmlformats.org/officeDocument/2006/relationships/hyperlink" Target="https://openclassrooms.com/fr/courses/3013891-ameliorez-limpact-de-vos-presentations" TargetMode="External"/><Relationship Id="rId30" Type="http://schemas.openxmlformats.org/officeDocument/2006/relationships/hyperlink" Target="https://s3.eu-west-1.amazonaws.com/course.oc-static.com/projects/1047_Data+Scientist+ML/P4_DSML_1047/Projet+4+-+Fiche+d&apos;auto-e%CC%81valuation-editable.pdf"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2025-12-24T11:06:06Z</dcterms:modified>
</cp:coreProperties>
</file>