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left"/>
      </w:pPr>
      <w:r>
        <w:rPr>
          <w:rFonts w:ascii="Calibri" w:cs="Calibri" w:eastAsia="Calibri" w:hAnsi="Calibri"/>
          <w:b/>
          <w:bCs/>
          <w:color w:val="1F3864"/>
          <w:sz w:val="40"/>
          <w:szCs w:val="40"/>
        </w:rPr>
        <w:t xml:space="preserve">Contraintes d'éligibilité des parcelles pour les projets EnR</w:t>
      </w:r>
    </w:p>
    <w:p>
      <w:pPr>
        <w:spacing w:after="40"/>
      </w:pPr>
      <w:r>
        <w:rPr>
          <w:rFonts w:ascii="Calibri" w:cs="Calibri" w:eastAsia="Calibri" w:hAnsi="Calibri"/>
          <w:color w:val="2E5496"/>
          <w:sz w:val="25"/>
          <w:szCs w:val="25"/>
        </w:rPr>
        <w:t xml:space="preserve">Éolien · Solaire au sol · Agrivoltaïsme · Stockage par batterie · Méthanisation</w:t>
      </w:r>
    </w:p>
    <w:p>
      <w:pPr>
        <w:spacing w:after="40"/>
      </w:pPr>
      <w:r>
        <w:rPr>
          <w:rFonts w:ascii="Calibri" w:cs="Calibri" w:eastAsia="Calibri" w:hAnsi="Calibri"/>
          <w:i/>
          <w:iCs/>
          <w:color w:val="555555"/>
          <w:sz w:val="21"/>
          <w:szCs w:val="21"/>
        </w:rPr>
        <w:t xml:space="preserve">Document de synthèse — support à la construction des couches SIG de l'application d'apport d'affaires</w:t>
      </w:r>
    </w:p>
    <w:p>
      <w:pPr>
        <w:pBdr>
          <w:bottom w:val="single" w:color="1F3864" w:sz="12"/>
        </w:pBdr>
        <w:spacing w:after="80"/>
      </w:pPr>
      <w:r>
        <w:rPr>
          <w:rFonts w:ascii="Calibri" w:cs="Calibri" w:eastAsia="Calibri" w:hAnsi="Calibri"/>
          <w:color w:val="222222"/>
          <w:sz w:val="21"/>
          <w:szCs w:val="21"/>
        </w:rPr>
        <w:t xml:space="preserve"/>
      </w:r>
    </w:p>
    <w:p>
      <w:pPr>
        <w:spacing w:after="30"/>
      </w:pPr>
      <w:r>
        <w:rPr>
          <w:rFonts w:ascii="Calibri" w:cs="Calibri" w:eastAsia="Calibri" w:hAnsi="Calibri"/>
          <w:color w:val="555555"/>
          <w:sz w:val="20"/>
          <w:szCs w:val="20"/>
        </w:rPr>
        <w:t xml:space="preserve">Dimeo Energie  ·  18 septembre 2026  ·  v1</w:t>
      </w:r>
    </w:p>
    <w:p>
      <w:pPr>
        <w:spacing w:after="200"/>
      </w:pPr>
      <w:r>
        <w:rPr>
          <w:rFonts w:ascii="Calibri" w:cs="Calibri" w:eastAsia="Calibri" w:hAnsi="Calibri"/>
          <w:i/>
          <w:iCs/>
          <w:color w:val="555555"/>
          <w:sz w:val="20"/>
          <w:szCs w:val="20"/>
        </w:rPr>
        <w:t xml:space="preserve">À lire avec le classeur « Contraintes_EnR_parcelles_France.xlsx » (détail exhaustif des 292 contraintes)</w:t>
      </w:r>
    </w:p>
    <w:p>
      <w:pPr>
        <w:pStyle w:val="Heading1"/>
        <w:spacing w:after="140" w:before="320"/>
      </w:pPr>
      <w:r>
        <w:rPr>
          <w:rFonts w:ascii="Calibri" w:cs="Calibri" w:eastAsia="Calibri" w:hAnsi="Calibri"/>
          <w:b/>
          <w:bCs/>
          <w:color w:val="1F3864"/>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b/>
          <w:bCs/>
          <w:color w:val="1F3864"/>
          <w:sz w:val="30"/>
          <w:szCs w:val="30"/>
        </w:rPr>
        <w:t xml:space="preserve">1. Objet, méthode et avertissements</w:t>
      </w:r>
    </w:p>
    <w:p>
      <w:pPr>
        <w:spacing w:after="120" w:line="276"/>
        <w:jc w:val="both"/>
      </w:pPr>
      <w:r>
        <w:rPr>
          <w:rFonts w:ascii="Calibri" w:cs="Calibri" w:eastAsia="Calibri" w:hAnsi="Calibri"/>
          <w:color w:val="222222"/>
          <w:sz w:val="21"/>
          <w:szCs w:val="21"/>
        </w:rPr>
        <w:t xml:space="preserve">Ce document accompagne le classeur Excel qui recense, de façon la plus exhaustive possible, les contraintes qui déterminent si une parcelle peut ou non accueillir un projet d'énergie renouvelable dans les cinq filières visées : éolien terrestre, photovoltaïque au sol, agrivoltaïsme, stockage par batterie (BESS) et méthanisation. L'objectif est opérationnel : chaque contrainte est pensée comme une </w:t>
      </w:r>
      <w:r>
        <w:rPr>
          <w:rFonts w:ascii="Calibri" w:cs="Calibri" w:eastAsia="Calibri" w:hAnsi="Calibri"/>
          <w:b/>
          <w:bCs/>
          <w:color w:val="222222"/>
          <w:sz w:val="21"/>
          <w:szCs w:val="21"/>
        </w:rPr>
        <w:t xml:space="preserve">couche cartographique</w:t>
      </w:r>
      <w:r>
        <w:rPr>
          <w:rFonts w:ascii="Calibri" w:cs="Calibri" w:eastAsia="Calibri" w:hAnsi="Calibri"/>
          <w:color w:val="222222"/>
          <w:sz w:val="21"/>
          <w:szCs w:val="21"/>
        </w:rPr>
        <w:t xml:space="preserve"> (zone d'exclusion, zone tampon/buffer, ou pondération) directement transposable dans votre application, afin de faire remonter automatiquement les parcelles pertinentes et d'écarter celles qui sont disqualifiées.</w:t>
      </w:r>
    </w:p>
    <w:p>
      <w:pPr>
        <w:spacing w:after="120" w:line="276"/>
        <w:jc w:val="both"/>
      </w:pPr>
      <w:r>
        <w:rPr>
          <w:rFonts w:ascii="Calibri" w:cs="Calibri" w:eastAsia="Calibri" w:hAnsi="Calibri"/>
          <w:color w:val="222222"/>
          <w:sz w:val="21"/>
          <w:szCs w:val="21"/>
        </w:rPr>
        <w:t xml:space="preserve">Le classeur comprend une feuille par filière, un mode d'emploi et un catalogue des sources de données. Chaque contrainte y est décrite par huit champs : catégorie, contrainte, description, seuil/distance/critère, </w:t>
      </w:r>
      <w:r>
        <w:rPr>
          <w:rFonts w:ascii="Calibri" w:cs="Calibri" w:eastAsia="Calibri" w:hAnsi="Calibri"/>
          <w:b/>
          <w:bCs/>
          <w:color w:val="222222"/>
          <w:sz w:val="21"/>
          <w:szCs w:val="21"/>
        </w:rPr>
        <w:t xml:space="preserve">caractère</w:t>
      </w:r>
      <w:r>
        <w:rPr>
          <w:rFonts w:ascii="Calibri" w:cs="Calibri" w:eastAsia="Calibri" w:hAnsi="Calibri"/>
          <w:color w:val="222222"/>
          <w:sz w:val="21"/>
          <w:szCs w:val="21"/>
        </w:rPr>
        <w:t xml:space="preserve">, référence réglementaire, couche SIG mobilisable et type d'intégration.</w:t>
      </w:r>
    </w:p>
    <w:p>
      <w:pPr>
        <w:pStyle w:val="Heading2"/>
        <w:spacing w:after="100" w:before="240"/>
      </w:pPr>
      <w:r>
        <w:rPr>
          <w:rFonts w:ascii="Calibri" w:cs="Calibri" w:eastAsia="Calibri" w:hAnsi="Calibri"/>
          <w:b/>
          <w:bCs/>
          <w:color w:val="2E5496"/>
          <w:sz w:val="25"/>
          <w:szCs w:val="25"/>
        </w:rPr>
        <w:t xml:space="preserve">1.1 La grille de lecture du « caractère »</w:t>
      </w:r>
    </w:p>
    <w:p>
      <w:pPr>
        <w:spacing w:after="120" w:line="276"/>
        <w:jc w:val="both"/>
      </w:pPr>
      <w:r>
        <w:rPr>
          <w:rFonts w:ascii="Calibri" w:cs="Calibri" w:eastAsia="Calibri" w:hAnsi="Calibri"/>
          <w:color w:val="222222"/>
          <w:sz w:val="21"/>
          <w:szCs w:val="21"/>
        </w:rPr>
        <w:t xml:space="preserve">Trois niveaux structurent l'ensemble de l'analyse. Ils correspondent à la logique de décision d'un développeur puis de l'administration :</w:t>
      </w:r>
    </w:p>
    <w:p>
      <w:pPr>
        <w:pStyle w:val="ListParagraph"/>
        <w:numPr>
          <w:ilvl w:val="0"/>
          <w:numId w:val="2"/>
        </w:numPr>
        <w:spacing w:after="70" w:line="270"/>
      </w:pPr>
      <w:r>
        <w:rPr>
          <w:rFonts w:ascii="Calibri" w:cs="Calibri" w:eastAsia="Calibri" w:hAnsi="Calibri"/>
          <w:b/>
          <w:bCs/>
          <w:color w:val="C00000"/>
          <w:sz w:val="21"/>
          <w:szCs w:val="21"/>
        </w:rPr>
        <w:t xml:space="preserve">Rédhibitoire</w:t>
      </w:r>
      <w:r>
        <w:rPr>
          <w:rFonts w:ascii="Calibri" w:cs="Calibri" w:eastAsia="Calibri" w:hAnsi="Calibri"/>
          <w:color w:val="222222"/>
          <w:sz w:val="21"/>
          <w:szCs w:val="21"/>
        </w:rPr>
        <w:t xml:space="preserve"> — la parcelle est éliminée : interdiction réglementaire, avis conforme défavorable prévisible, ou impossibilité économique de fait (poste de raccordement saturé, par exemple).</w:t>
      </w:r>
    </w:p>
    <w:p>
      <w:pPr>
        <w:pStyle w:val="ListParagraph"/>
        <w:numPr>
          <w:ilvl w:val="0"/>
          <w:numId w:val="2"/>
        </w:numPr>
        <w:spacing w:after="70" w:line="270"/>
      </w:pPr>
      <w:r>
        <w:rPr>
          <w:rFonts w:ascii="Calibri" w:cs="Calibri" w:eastAsia="Calibri" w:hAnsi="Calibri"/>
          <w:b/>
          <w:bCs/>
          <w:color w:val="BF8F00"/>
          <w:sz w:val="21"/>
          <w:szCs w:val="21"/>
        </w:rPr>
        <w:t xml:space="preserve">Pénalisant</w:t>
      </w:r>
      <w:r>
        <w:rPr>
          <w:rFonts w:ascii="Calibri" w:cs="Calibri" w:eastAsia="Calibri" w:hAnsi="Calibri"/>
          <w:color w:val="222222"/>
          <w:sz w:val="21"/>
          <w:szCs w:val="21"/>
        </w:rPr>
        <w:t xml:space="preserve"> — le projet reste possible mais au prix d'un surcoût, d'une procédure lourde, d'une dérogation à obtenir ou d'un risque contentieux. Ce sont les contraintes à instruire au cas par cas.</w:t>
      </w:r>
    </w:p>
    <w:p>
      <w:pPr>
        <w:pStyle w:val="ListParagraph"/>
        <w:numPr>
          <w:ilvl w:val="0"/>
          <w:numId w:val="2"/>
        </w:numPr>
        <w:spacing w:after="70" w:line="270"/>
      </w:pPr>
      <w:r>
        <w:rPr>
          <w:rFonts w:ascii="Calibri" w:cs="Calibri" w:eastAsia="Calibri" w:hAnsi="Calibri"/>
          <w:b/>
          <w:bCs/>
          <w:color w:val="548235"/>
          <w:sz w:val="21"/>
          <w:szCs w:val="21"/>
        </w:rPr>
        <w:t xml:space="preserve">Favorable</w:t>
      </w:r>
      <w:r>
        <w:rPr>
          <w:rFonts w:ascii="Calibri" w:cs="Calibri" w:eastAsia="Calibri" w:hAnsi="Calibri"/>
          <w:color w:val="222222"/>
          <w:sz w:val="21"/>
          <w:szCs w:val="21"/>
        </w:rPr>
        <w:t xml:space="preserve"> — critère d'éligibilité positif ou d'orientation préférentielle (terrain dégradé listé, zone d'accélération EnR, non-comptabilisation ZAN…).</w:t>
      </w:r>
    </w:p>
    <w:p>
      <w:pPr>
        <w:spacing w:after="120" w:line="276"/>
        <w:jc w:val="both"/>
      </w:pPr>
      <w:r>
        <w:rPr>
          <w:rFonts w:ascii="Calibri" w:cs="Calibri" w:eastAsia="Calibri" w:hAnsi="Calibri"/>
          <w:color w:val="222222"/>
          <w:sz w:val="21"/>
          <w:szCs w:val="21"/>
        </w:rPr>
        <w:t xml:space="preserve">Attention : une même contrainte peut basculer d'un niveau à l'autre selon la distance. C'est le cas typique des radars et de l'aviation, où l'on distingue une zone d'interdiction rapprochée (rédhibitoire) et une zone de coordination plus large (pénalisant, soumise à avis). Ces contraintes doivent donc être modélisées en </w:t>
      </w:r>
      <w:r>
        <w:rPr>
          <w:rFonts w:ascii="Calibri" w:cs="Calibri" w:eastAsia="Calibri" w:hAnsi="Calibri"/>
          <w:b/>
          <w:bCs/>
          <w:color w:val="222222"/>
          <w:sz w:val="21"/>
          <w:szCs w:val="21"/>
        </w:rPr>
        <w:t xml:space="preserve">buffers concentriques</w:t>
      </w:r>
      <w:r>
        <w:rPr>
          <w:rFonts w:ascii="Calibri" w:cs="Calibri" w:eastAsia="Calibri" w:hAnsi="Calibri"/>
          <w:color w:val="222222"/>
          <w:sz w:val="21"/>
          <w:szCs w:val="21"/>
        </w:rPr>
        <w:t xml:space="preserve">, pas en exclusion binaire.</w:t>
      </w:r>
    </w:p>
    <w:p>
      <w:pPr>
        <w:pStyle w:val="Heading2"/>
        <w:spacing w:after="100" w:before="240"/>
      </w:pPr>
      <w:r>
        <w:rPr>
          <w:rFonts w:ascii="Calibri" w:cs="Calibri" w:eastAsia="Calibri" w:hAnsi="Calibri"/>
          <w:b/>
          <w:bCs/>
          <w:color w:val="2E5496"/>
          <w:sz w:val="25"/>
          <w:szCs w:val="25"/>
        </w:rPr>
        <w:t xml:space="preserve">1.2 Le champ « type d'intégration SIG »</w:t>
      </w:r>
    </w:p>
    <w:p>
      <w:pPr>
        <w:spacing w:after="120" w:line="276"/>
        <w:jc w:val="both"/>
      </w:pPr>
      <w:r>
        <w:rPr>
          <w:rFonts w:ascii="Calibri" w:cs="Calibri" w:eastAsia="Calibri" w:hAnsi="Calibri"/>
          <w:color w:val="222222"/>
          <w:sz w:val="21"/>
          <w:szCs w:val="21"/>
        </w:rPr>
        <w:t xml:space="preserve">Ce champ indique la faisabilité data de chaque contrainte, ce qui conditionne l'ordre de construction de l'application :</w:t>
      </w:r>
    </w:p>
    <w:p>
      <w:pPr>
        <w:pStyle w:val="ListParagraph"/>
        <w:numPr>
          <w:ilvl w:val="0"/>
          <w:numId w:val="2"/>
        </w:numPr>
        <w:spacing w:after="70" w:line="270"/>
      </w:pPr>
      <w:r>
        <w:rPr>
          <w:rFonts w:ascii="Calibri" w:cs="Calibri" w:eastAsia="Calibri" w:hAnsi="Calibri"/>
          <w:b/>
          <w:bCs/>
          <w:color w:val="222222"/>
          <w:sz w:val="21"/>
          <w:szCs w:val="21"/>
        </w:rPr>
        <w:t xml:space="preserve">Open data national</w:t>
      </w:r>
      <w:r>
        <w:rPr>
          <w:rFonts w:ascii="Calibri" w:cs="Calibri" w:eastAsia="Calibri" w:hAnsi="Calibri"/>
          <w:color w:val="222222"/>
          <w:sz w:val="21"/>
          <w:szCs w:val="21"/>
        </w:rPr>
        <w:t xml:space="preserve"> — couche prête à l'emploi, homogène sur tout le territoire (INPN, Géorisques, GPU, IGN, Caparéseau…). À intégrer en priorité.</w:t>
      </w:r>
    </w:p>
    <w:p>
      <w:pPr>
        <w:pStyle w:val="ListParagraph"/>
        <w:numPr>
          <w:ilvl w:val="0"/>
          <w:numId w:val="2"/>
        </w:numPr>
        <w:spacing w:after="70" w:line="270"/>
      </w:pPr>
      <w:r>
        <w:rPr>
          <w:rFonts w:ascii="Calibri" w:cs="Calibri" w:eastAsia="Calibri" w:hAnsi="Calibri"/>
          <w:b/>
          <w:bCs/>
          <w:color w:val="222222"/>
          <w:sz w:val="21"/>
          <w:szCs w:val="21"/>
        </w:rPr>
        <w:t xml:space="preserve">Départemental / régional</w:t>
      </w:r>
      <w:r>
        <w:rPr>
          <w:rFonts w:ascii="Calibri" w:cs="Calibri" w:eastAsia="Calibri" w:hAnsi="Calibri"/>
          <w:color w:val="222222"/>
          <w:sz w:val="21"/>
          <w:szCs w:val="21"/>
        </w:rPr>
        <w:t xml:space="preserve"> — donnée existante mais fragmentée : à agréger territoire par territoire (SRADDET, doctrines DREAL/DDT, documents-cadres CDPENAF, ENS…).</w:t>
      </w:r>
    </w:p>
    <w:p>
      <w:pPr>
        <w:pStyle w:val="ListParagraph"/>
        <w:numPr>
          <w:ilvl w:val="0"/>
          <w:numId w:val="2"/>
        </w:numPr>
        <w:spacing w:after="70" w:line="270"/>
      </w:pPr>
      <w:r>
        <w:rPr>
          <w:rFonts w:ascii="Calibri" w:cs="Calibri" w:eastAsia="Calibri" w:hAnsi="Calibri"/>
          <w:b/>
          <w:bCs/>
          <w:color w:val="222222"/>
          <w:sz w:val="21"/>
          <w:szCs w:val="21"/>
        </w:rPr>
        <w:t xml:space="preserve">À créer / modéliser</w:t>
      </w:r>
      <w:r>
        <w:rPr>
          <w:rFonts w:ascii="Calibri" w:cs="Calibri" w:eastAsia="Calibri" w:hAnsi="Calibri"/>
          <w:color w:val="222222"/>
          <w:sz w:val="21"/>
          <w:szCs w:val="21"/>
        </w:rPr>
        <w:t xml:space="preserve"> — pas de couche prête : positions de radars à obtenir par consultation, analyses de covisibilité/viewshed, saturation visuelle, buffers dynamiques fonction de la hauteur d'éolienne.</w:t>
      </w:r>
    </w:p>
    <w:p>
      <w:pPr>
        <w:pStyle w:val="ListParagraph"/>
        <w:numPr>
          <w:ilvl w:val="0"/>
          <w:numId w:val="2"/>
        </w:numPr>
        <w:spacing w:after="70" w:line="270"/>
      </w:pPr>
      <w:r>
        <w:rPr>
          <w:rFonts w:ascii="Calibri" w:cs="Calibri" w:eastAsia="Calibri" w:hAnsi="Calibri"/>
          <w:b/>
          <w:bCs/>
          <w:color w:val="222222"/>
          <w:sz w:val="21"/>
          <w:szCs w:val="21"/>
        </w:rPr>
        <w:t xml:space="preserve">Critère projet (non SIG)</w:t>
      </w:r>
      <w:r>
        <w:rPr>
          <w:rFonts w:ascii="Calibri" w:cs="Calibri" w:eastAsia="Calibri" w:hAnsi="Calibri"/>
          <w:color w:val="222222"/>
          <w:sz w:val="21"/>
          <w:szCs w:val="21"/>
        </w:rPr>
        <w:t xml:space="preserve"> — non cartographiable : maîtrise foncière, performance agronomique, études réglementaires. À traiter comme champ de qualification manuel dans l'app.</w:t>
      </w:r>
    </w:p>
    <w:p>
      <w:pPr>
        <w:pStyle w:val="Heading2"/>
        <w:spacing w:after="100" w:before="240"/>
      </w:pPr>
      <w:r>
        <w:rPr>
          <w:rFonts w:ascii="Calibri" w:cs="Calibri" w:eastAsia="Calibri" w:hAnsi="Calibri"/>
          <w:b/>
          <w:bCs/>
          <w:color w:val="2E5496"/>
          <w:sz w:val="25"/>
          <w:szCs w:val="25"/>
        </w:rPr>
        <w:t xml:space="preserve">1.3 Trois avertissements structurants</w:t>
      </w:r>
    </w:p>
    <w:p>
      <w:pPr>
        <w:spacing w:after="120" w:line="276"/>
        <w:jc w:val="both"/>
      </w:pPr>
      <w:r>
        <w:rPr>
          <w:rFonts w:ascii="Calibri" w:cs="Calibri" w:eastAsia="Calibri" w:hAnsi="Calibri"/>
          <w:color w:val="222222"/>
          <w:sz w:val="21"/>
          <w:szCs w:val="21"/>
        </w:rPr>
        <w:t xml:space="preserve">Primo, </w:t>
      </w:r>
      <w:r>
        <w:rPr>
          <w:rFonts w:ascii="Calibri" w:cs="Calibri" w:eastAsia="Calibri" w:hAnsi="Calibri"/>
          <w:b/>
          <w:bCs/>
          <w:color w:val="222222"/>
          <w:sz w:val="21"/>
          <w:szCs w:val="21"/>
        </w:rPr>
        <w:t xml:space="preserve">beaucoup de seuils sont fixés localement</w:t>
      </w:r>
      <w:r>
        <w:rPr>
          <w:rFonts w:ascii="Calibri" w:cs="Calibri" w:eastAsia="Calibri" w:hAnsi="Calibri"/>
          <w:color w:val="222222"/>
          <w:sz w:val="21"/>
          <w:szCs w:val="21"/>
        </w:rPr>
        <w:t xml:space="preserve"> — arrêtés préfectoraux, doctrines DREAL/DDT, documents-cadres CDPENAF, chartes de PNR. Une couche nationale doit donc presque toujours être croisée avec une surcouche départementale paramétrable. L'application gagnera à intégrer dès l'origine une variable « département / DREAL » pilotant ces règles métier.</w:t>
      </w:r>
    </w:p>
    <w:p>
      <w:pPr>
        <w:spacing w:after="120" w:line="276"/>
        <w:jc w:val="both"/>
      </w:pPr>
      <w:r>
        <w:rPr>
          <w:rFonts w:ascii="Calibri" w:cs="Calibri" w:eastAsia="Calibri" w:hAnsi="Calibri"/>
          <w:color w:val="222222"/>
          <w:sz w:val="21"/>
          <w:szCs w:val="21"/>
        </w:rPr>
        <w:t xml:space="preserve">Secundo, </w:t>
      </w:r>
      <w:r>
        <w:rPr>
          <w:rFonts w:ascii="Calibri" w:cs="Calibri" w:eastAsia="Calibri" w:hAnsi="Calibri"/>
          <w:b/>
          <w:bCs/>
          <w:color w:val="222222"/>
          <w:sz w:val="21"/>
          <w:szCs w:val="21"/>
        </w:rPr>
        <w:t xml:space="preserve">certaines contraintes sont dynamiques</w:t>
      </w:r>
      <w:r>
        <w:rPr>
          <w:rFonts w:ascii="Calibri" w:cs="Calibri" w:eastAsia="Calibri" w:hAnsi="Calibri"/>
          <w:color w:val="222222"/>
          <w:sz w:val="21"/>
          <w:szCs w:val="21"/>
        </w:rPr>
        <w:t xml:space="preserve">. En éolien, les reculs vis-à-vis des lignes RTE, des canalisations de gaz, des routes et des voies ferrées, ainsi que les zones d'effet de l'étude de dangers, dépendent de la hauteur en bout de pale de la machine : ils doivent être paramétrés comme des buffers fonction de H, et non comme des valeurs fixes.</w:t>
      </w:r>
    </w:p>
    <w:p>
      <w:pPr>
        <w:spacing w:after="120" w:line="276"/>
        <w:jc w:val="both"/>
      </w:pPr>
      <w:r>
        <w:rPr>
          <w:rFonts w:ascii="Calibri" w:cs="Calibri" w:eastAsia="Calibri" w:hAnsi="Calibri"/>
          <w:color w:val="222222"/>
          <w:sz w:val="21"/>
          <w:szCs w:val="21"/>
        </w:rPr>
        <w:t xml:space="preserve">Tertio, </w:t>
      </w:r>
      <w:r>
        <w:rPr>
          <w:rFonts w:ascii="Calibri" w:cs="Calibri" w:eastAsia="Calibri" w:hAnsi="Calibri"/>
          <w:b/>
          <w:bCs/>
          <w:color w:val="222222"/>
          <w:sz w:val="21"/>
          <w:szCs w:val="21"/>
        </w:rPr>
        <w:t xml:space="preserve">la réglementation évolue vite</w:t>
      </w:r>
      <w:r>
        <w:rPr>
          <w:rFonts w:ascii="Calibri" w:cs="Calibri" w:eastAsia="Calibri" w:hAnsi="Calibri"/>
          <w:color w:val="222222"/>
          <w:sz w:val="21"/>
          <w:szCs w:val="21"/>
        </w:rPr>
        <w:t xml:space="preserve"> (2024-2026). Le cadre de l'agrivoltaïsme et du stockage batterie est particulièrement mouvant : plusieurs textes structurants sont récents ou attendus. La section 7 recense ces points de fraîcheur et les échéances à surveiller.</w:t>
      </w:r>
    </w:p>
    <w:p>
      <w:r>
        <w:br w:type="page"/>
      </w:r>
    </w:p>
    <w:p>
      <w:pPr>
        <w:pStyle w:val="Heading1"/>
        <w:spacing w:after="140" w:before="320"/>
      </w:pPr>
      <w:r>
        <w:rPr>
          <w:rFonts w:ascii="Calibri" w:cs="Calibri" w:eastAsia="Calibri" w:hAnsi="Calibri"/>
          <w:b/>
          <w:bCs/>
          <w:color w:val="1F3864"/>
          <w:sz w:val="30"/>
          <w:szCs w:val="30"/>
        </w:rPr>
        <w:t xml:space="preserve">2. Les familles de contraintes communes aux cinq filières</w:t>
      </w:r>
    </w:p>
    <w:p>
      <w:pPr>
        <w:spacing w:after="120" w:line="276"/>
        <w:jc w:val="both"/>
      </w:pPr>
      <w:r>
        <w:rPr>
          <w:rFonts w:ascii="Calibri" w:cs="Calibri" w:eastAsia="Calibri" w:hAnsi="Calibri"/>
          <w:color w:val="222222"/>
          <w:sz w:val="21"/>
          <w:szCs w:val="21"/>
        </w:rPr>
        <w:t xml:space="preserve">Au-delà des spécificités de chaque filière, huit grandes familles de contraintes se retrouvent transversalement. Les intégrer une fois pour toutes dans l'application couvre l'essentiel du socle réglementaire, quelle que soit la technologie.</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4200"/>
        <w:gridCol w:w="2200"/>
      </w:tblGrid>
      <w:tr>
        <w:trPr>
          <w:tblHeader/>
        </w:trPr>
        <w:tc>
          <w:tcPr>
            <w:tcW w:type="dxa" w:w="2600"/>
            <w:shd w:fill="2E5496" w:color="auto" w:val="clear"/>
            <w:tcMar>
              <w:top w:type="dxa" w:w="40"/>
              <w:left w:type="dxa" w:w="80"/>
              <w:bottom w:type="dxa" w:w="40"/>
              <w:right w:type="dxa" w:w="80"/>
            </w:tcMar>
          </w:tcPr>
          <w:p>
            <w:r>
              <w:rPr>
                <w:rFonts w:ascii="Calibri" w:cs="Calibri" w:eastAsia="Calibri" w:hAnsi="Calibri"/>
                <w:b/>
                <w:bCs/>
                <w:color w:val="FFFFFF"/>
                <w:sz w:val="19"/>
                <w:szCs w:val="19"/>
              </w:rPr>
              <w:t xml:space="preserve">Famille</w:t>
            </w:r>
          </w:p>
        </w:tc>
        <w:tc>
          <w:tcPr>
            <w:tcW w:type="dxa" w:w="4200"/>
            <w:shd w:fill="2E5496" w:color="auto" w:val="clear"/>
            <w:tcMar>
              <w:top w:type="dxa" w:w="40"/>
              <w:left w:type="dxa" w:w="80"/>
              <w:bottom w:type="dxa" w:w="40"/>
              <w:right w:type="dxa" w:w="80"/>
            </w:tcMar>
          </w:tcPr>
          <w:p>
            <w:r>
              <w:rPr>
                <w:rFonts w:ascii="Calibri" w:cs="Calibri" w:eastAsia="Calibri" w:hAnsi="Calibri"/>
                <w:b/>
                <w:bCs/>
                <w:color w:val="FFFFFF"/>
                <w:sz w:val="19"/>
                <w:szCs w:val="19"/>
              </w:rPr>
              <w:t xml:space="preserve">Ce qu'elle recouvre</w:t>
            </w:r>
          </w:p>
        </w:tc>
        <w:tc>
          <w:tcPr>
            <w:tcW w:type="dxa" w:w="2200"/>
            <w:shd w:fill="2E5496" w:color="auto" w:val="clear"/>
            <w:tcMar>
              <w:top w:type="dxa" w:w="40"/>
              <w:left w:type="dxa" w:w="80"/>
              <w:bottom w:type="dxa" w:w="40"/>
              <w:right w:type="dxa" w:w="80"/>
            </w:tcMar>
          </w:tcPr>
          <w:p>
            <w:r>
              <w:rPr>
                <w:rFonts w:ascii="Calibri" w:cs="Calibri" w:eastAsia="Calibri" w:hAnsi="Calibri"/>
                <w:b/>
                <w:bCs/>
                <w:color w:val="FFFFFF"/>
                <w:sz w:val="19"/>
                <w:szCs w:val="19"/>
              </w:rPr>
              <w:t xml:space="preserve">Sources SIG principales</w:t>
            </w:r>
          </w:p>
        </w:tc>
      </w:tr>
      <w:tr>
        <w:tc>
          <w:tcPr>
            <w:tcW w:type="dxa" w:w="2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Biodiversité &amp; milieux naturels</w:t>
            </w:r>
          </w:p>
        </w:tc>
        <w:tc>
          <w:tcPr>
            <w:tcW w:type="dxa" w:w="42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Natura 2000, ZNIEFF I/II, ZICO, réserves naturelles, APPB, parcs nationaux/PNR, zones humides, trame verte et bleue, espèces protégées, Conservatoire du littoral</w:t>
            </w:r>
          </w:p>
        </w:tc>
        <w:tc>
          <w:tcPr>
            <w:tcW w:type="dxa" w:w="22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INPN, DREAL/SRADDET, agences de l'eau</w:t>
            </w:r>
          </w:p>
        </w:tc>
      </w:tr>
      <w:tr>
        <w:tc>
          <w:tcPr>
            <w:tcW w:type="dxa" w:w="26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Patrimoine &amp; paysage</w:t>
            </w:r>
          </w:p>
        </w:tc>
        <w:tc>
          <w:tcPr>
            <w:tcW w:type="dxa" w:w="42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Monuments historiques (abords 500 m/PDA), sites classés et inscrits, SPR, UNESCO, covisibilité</w:t>
            </w:r>
          </w:p>
        </w:tc>
        <w:tc>
          <w:tcPr>
            <w:tcW w:type="dxa" w:w="22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Atlas des patrimoines, INPN, DREAL</w:t>
            </w:r>
          </w:p>
        </w:tc>
      </w:tr>
      <w:tr>
        <w:tc>
          <w:tcPr>
            <w:tcW w:type="dxa" w:w="2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Urbanisme &amp; planification</w:t>
            </w:r>
          </w:p>
        </w:tc>
        <w:tc>
          <w:tcPr>
            <w:tcW w:type="dxa" w:w="42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Zonage PLU/PLUi/CC/RNU, EBC, SUP, SCoT, lois Littoral et Montagne, ZAN, zones d'accélération EnR</w:t>
            </w:r>
          </w:p>
        </w:tc>
        <w:tc>
          <w:tcPr>
            <w:tcW w:type="dxa" w:w="22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Géoportail de l'urbanisme, Cerema</w:t>
            </w:r>
          </w:p>
        </w:tc>
      </w:tr>
      <w:tr>
        <w:tc>
          <w:tcPr>
            <w:tcW w:type="dxa" w:w="26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Servitudes techniques &amp; réseaux</w:t>
            </w:r>
          </w:p>
        </w:tc>
        <w:tc>
          <w:tcPr>
            <w:tcW w:type="dxa" w:w="42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Lignes électriques, canalisations, servitudes aéronautiques et radioélectriques, radars, routes/voies ferrées</w:t>
            </w:r>
          </w:p>
        </w:tc>
        <w:tc>
          <w:tcPr>
            <w:tcW w:type="dxa" w:w="22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GPU (SUP), Géorisques, ANFR, RTE/Enedis, SIA</w:t>
            </w:r>
          </w:p>
        </w:tc>
      </w:tr>
      <w:tr>
        <w:tc>
          <w:tcPr>
            <w:tcW w:type="dxa" w:w="2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Risques naturels &amp; technologiques</w:t>
            </w:r>
          </w:p>
        </w:tc>
        <w:tc>
          <w:tcPr>
            <w:tcW w:type="dxa" w:w="42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PPRi inondation, PPRT/SEVESO, argiles (RGA), cavités, mouvements de terrain, sismicité, feux de forêt</w:t>
            </w:r>
          </w:p>
        </w:tc>
        <w:tc>
          <w:tcPr>
            <w:tcW w:type="dxa" w:w="22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Géorisques</w:t>
            </w:r>
          </w:p>
        </w:tc>
      </w:tr>
      <w:tr>
        <w:tc>
          <w:tcPr>
            <w:tcW w:type="dxa" w:w="26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Raccordement</w:t>
            </w:r>
          </w:p>
        </w:tc>
        <w:tc>
          <w:tcPr>
            <w:tcW w:type="dxa" w:w="42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Distance et capacité d'accueil du poste source, S3REnR</w:t>
            </w:r>
          </w:p>
        </w:tc>
        <w:tc>
          <w:tcPr>
            <w:tcW w:type="dxa" w:w="22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Caparéseau, RTE/Enedis</w:t>
            </w:r>
          </w:p>
        </w:tc>
      </w:tr>
      <w:tr>
        <w:tc>
          <w:tcPr>
            <w:tcW w:type="dxa" w:w="2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Foncier &amp; procédures</w:t>
            </w:r>
          </w:p>
        </w:tc>
        <w:tc>
          <w:tcPr>
            <w:tcW w:type="dxa" w:w="42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Maîtrise foncière, régime d'autorisation (ICPE/PC), étude d'impact, enquête publique</w:t>
            </w:r>
          </w:p>
        </w:tc>
        <w:tc>
          <w:tcPr>
            <w:tcW w:type="dxa" w:w="22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Cadastre/fichiers fonciers ; critère projet</w:t>
            </w:r>
          </w:p>
        </w:tc>
      </w:tr>
      <w:tr>
        <w:tc>
          <w:tcPr>
            <w:tcW w:type="dxa" w:w="26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Gisement &amp; technique</w:t>
            </w:r>
          </w:p>
        </w:tc>
        <w:tc>
          <w:tcPr>
            <w:tcW w:type="dxa" w:w="42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Vent ou irradiation, pente/exposition, surface minimale, accès poids lourds</w:t>
            </w:r>
          </w:p>
        </w:tc>
        <w:tc>
          <w:tcPr>
            <w:tcW w:type="dxa" w:w="22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IGN RGE ALTI, atlas de gisement, BD TOPO</w:t>
            </w:r>
          </w:p>
        </w:tc>
      </w:tr>
    </w:tbl>
    <w:p>
      <w:pPr>
        <w:spacing w:after="60"/>
      </w:pPr>
      <w:r>
        <w:rPr>
          <w:rFonts w:ascii="Calibri" w:cs="Calibri" w:eastAsia="Calibri" w:hAnsi="Calibri"/>
          <w:color w:val="222222"/>
          <w:sz w:val="21"/>
          <w:szCs w:val="21"/>
        </w:rPr>
        <w:t xml:space="preserve"/>
      </w:r>
    </w:p>
    <w:p>
      <w:pPr>
        <w:spacing w:after="120" w:line="276"/>
        <w:jc w:val="both"/>
      </w:pPr>
      <w:r>
        <w:rPr>
          <w:rFonts w:ascii="Calibri" w:cs="Calibri" w:eastAsia="Calibri" w:hAnsi="Calibri"/>
          <w:color w:val="222222"/>
          <w:sz w:val="21"/>
          <w:szCs w:val="21"/>
        </w:rPr>
        <w:t xml:space="preserve">Deux familles concentrent le plus grand nombre de motifs d'</w:t>
      </w:r>
      <w:r>
        <w:rPr>
          <w:rFonts w:ascii="Calibri" w:cs="Calibri" w:eastAsia="Calibri" w:hAnsi="Calibri"/>
          <w:b/>
          <w:bCs/>
          <w:color w:val="222222"/>
          <w:sz w:val="21"/>
          <w:szCs w:val="21"/>
        </w:rPr>
        <w:t xml:space="preserve">annulation contentieuse</w:t>
      </w:r>
      <w:r>
        <w:rPr>
          <w:rFonts w:ascii="Calibri" w:cs="Calibri" w:eastAsia="Calibri" w:hAnsi="Calibri"/>
          <w:color w:val="222222"/>
          <w:sz w:val="21"/>
          <w:szCs w:val="21"/>
        </w:rPr>
        <w:t xml:space="preserve"> des autorisations : les </w:t>
      </w:r>
      <w:r>
        <w:rPr>
          <w:rFonts w:ascii="Calibri" w:cs="Calibri" w:eastAsia="Calibri" w:hAnsi="Calibri"/>
          <w:b/>
          <w:bCs/>
          <w:color w:val="222222"/>
          <w:sz w:val="21"/>
          <w:szCs w:val="21"/>
        </w:rPr>
        <w:t xml:space="preserve">espèces protégées</w:t>
      </w:r>
      <w:r>
        <w:rPr>
          <w:rFonts w:ascii="Calibri" w:cs="Calibri" w:eastAsia="Calibri" w:hAnsi="Calibri"/>
          <w:color w:val="222222"/>
          <w:sz w:val="21"/>
          <w:szCs w:val="21"/>
        </w:rPr>
        <w:t xml:space="preserve"> (nécessité d'une dérogation « espèces protégées » au titre de l'article L.411-2 du Code de l'environnement, appuyée sur des inventaires de terrain menés sur un cycle biologique complet) et le </w:t>
      </w:r>
      <w:r>
        <w:rPr>
          <w:rFonts w:ascii="Calibri" w:cs="Calibri" w:eastAsia="Calibri" w:hAnsi="Calibri"/>
          <w:b/>
          <w:bCs/>
          <w:color w:val="222222"/>
          <w:sz w:val="21"/>
          <w:szCs w:val="21"/>
        </w:rPr>
        <w:t xml:space="preserve">paysage</w:t>
      </w:r>
      <w:r>
        <w:rPr>
          <w:rFonts w:ascii="Calibri" w:cs="Calibri" w:eastAsia="Calibri" w:hAnsi="Calibri"/>
          <w:color w:val="222222"/>
          <w:sz w:val="21"/>
          <w:szCs w:val="21"/>
        </w:rPr>
        <w:t xml:space="preserve"> (covisibilité, saturation visuelle). Aucune des deux ne dispose de couche parcellaire fiable : elles se traitent en pré-diagnostic et en modélisation, jamais par simple filtrage automatique.</w:t>
      </w:r>
    </w:p>
    <w:p>
      <w:r>
        <w:br w:type="page"/>
      </w:r>
    </w:p>
    <w:p>
      <w:pPr>
        <w:pStyle w:val="Heading1"/>
        <w:spacing w:after="140" w:before="320"/>
      </w:pPr>
      <w:r>
        <w:rPr>
          <w:rFonts w:ascii="Calibri" w:cs="Calibri" w:eastAsia="Calibri" w:hAnsi="Calibri"/>
          <w:b/>
          <w:bCs/>
          <w:color w:val="1F3864"/>
          <w:sz w:val="30"/>
          <w:szCs w:val="30"/>
        </w:rPr>
        <w:t xml:space="preserve">3. Focus éolien terrestre</w:t>
      </w:r>
    </w:p>
    <w:p>
      <w:pPr>
        <w:spacing w:after="120" w:line="276"/>
        <w:jc w:val="both"/>
      </w:pPr>
      <w:r>
        <w:rPr>
          <w:rFonts w:ascii="Calibri" w:cs="Calibri" w:eastAsia="Calibri" w:hAnsi="Calibri"/>
          <w:color w:val="222222"/>
          <w:sz w:val="21"/>
          <w:szCs w:val="21"/>
        </w:rPr>
        <w:t xml:space="preserve">L'éolien est la filière la plus contrainte des quatre, car elle cumule un objet de grande hauteur (150 à 200 m en bout de pale) et un régime ICPE lourd (rubrique 2980, autorisation environnementale dès qu'une machine atteint 50 m). La feuille « Éolien » du classeur détaille 83 contraintes.</w:t>
      </w:r>
    </w:p>
    <w:p>
      <w:pPr>
        <w:pStyle w:val="Heading2"/>
        <w:spacing w:after="100" w:before="240"/>
      </w:pPr>
      <w:r>
        <w:rPr>
          <w:rFonts w:ascii="Calibri" w:cs="Calibri" w:eastAsia="Calibri" w:hAnsi="Calibri"/>
          <w:b/>
          <w:bCs/>
          <w:color w:val="2E5496"/>
          <w:sz w:val="25"/>
          <w:szCs w:val="25"/>
        </w:rPr>
        <w:t xml:space="preserve">3.1 Les filtres rédhibitoires de tête</w:t>
      </w:r>
    </w:p>
    <w:p>
      <w:pPr>
        <w:pStyle w:val="ListParagraph"/>
        <w:numPr>
          <w:ilvl w:val="0"/>
          <w:numId w:val="2"/>
        </w:numPr>
        <w:spacing w:after="70" w:line="270"/>
      </w:pPr>
      <w:r>
        <w:rPr>
          <w:rFonts w:ascii="Calibri" w:cs="Calibri" w:eastAsia="Calibri" w:hAnsi="Calibri"/>
          <w:b/>
          <w:bCs/>
          <w:color w:val="222222"/>
          <w:sz w:val="21"/>
          <w:szCs w:val="21"/>
        </w:rPr>
        <w:t xml:space="preserve">Éloignement de 500 m minimum</w:t>
      </w:r>
      <w:r>
        <w:rPr>
          <w:rFonts w:ascii="Calibri" w:cs="Calibri" w:eastAsia="Calibri" w:hAnsi="Calibri"/>
          <w:color w:val="222222"/>
          <w:sz w:val="21"/>
          <w:szCs w:val="21"/>
        </w:rPr>
        <w:t xml:space="preserve"> de toute habitation et de toute zone destinée à l'habitat (art. L.515-44 C. env.). Le préfet peut augmenter cette distance au vu de l'étude d'impact — d'où l'intérêt d'un buffer paramétrable au-delà de 500 m.</w:t>
      </w:r>
    </w:p>
    <w:p>
      <w:pPr>
        <w:pStyle w:val="ListParagraph"/>
        <w:numPr>
          <w:ilvl w:val="0"/>
          <w:numId w:val="2"/>
        </w:numPr>
        <w:spacing w:after="70" w:line="270"/>
      </w:pPr>
      <w:r>
        <w:rPr>
          <w:rFonts w:ascii="Calibri" w:cs="Calibri" w:eastAsia="Calibri" w:hAnsi="Calibri"/>
          <w:b/>
          <w:bCs/>
          <w:color w:val="222222"/>
          <w:sz w:val="21"/>
          <w:szCs w:val="21"/>
        </w:rPr>
        <w:t xml:space="preserve">Servitudes aéronautiques et radars</w:t>
      </w:r>
      <w:r>
        <w:rPr>
          <w:rFonts w:ascii="Calibri" w:cs="Calibri" w:eastAsia="Calibri" w:hAnsi="Calibri"/>
          <w:color w:val="222222"/>
          <w:sz w:val="21"/>
          <w:szCs w:val="21"/>
        </w:rPr>
        <w:t xml:space="preserve"> : zones d'interdiction autour des radars météo (10 km en bande S, 5 km en bande C, 4 km en bande X), radars de l'aviation civile et de la Défense (5 km), réseaux militaires très basse altitude (RTBA), surfaces de dégagement des aérodromes.</w:t>
      </w:r>
    </w:p>
    <w:p>
      <w:pPr>
        <w:pStyle w:val="ListParagraph"/>
        <w:numPr>
          <w:ilvl w:val="0"/>
          <w:numId w:val="2"/>
        </w:numPr>
        <w:spacing w:after="70" w:line="270"/>
      </w:pPr>
      <w:r>
        <w:rPr>
          <w:rFonts w:ascii="Calibri" w:cs="Calibri" w:eastAsia="Calibri" w:hAnsi="Calibri"/>
          <w:b/>
          <w:bCs/>
          <w:color w:val="222222"/>
          <w:sz w:val="21"/>
          <w:szCs w:val="21"/>
        </w:rPr>
        <w:t xml:space="preserve">Espaces protégés stricts</w:t>
      </w:r>
      <w:r>
        <w:rPr>
          <w:rFonts w:ascii="Calibri" w:cs="Calibri" w:eastAsia="Calibri" w:hAnsi="Calibri"/>
          <w:color w:val="222222"/>
          <w:sz w:val="21"/>
          <w:szCs w:val="21"/>
        </w:rPr>
        <w:t xml:space="preserve"> : réserves naturelles, cœurs de parcs nationaux, arrêtés de protection de biotope, sites classés, terrains du Conservatoire du littoral.</w:t>
      </w:r>
    </w:p>
    <w:p>
      <w:pPr>
        <w:pStyle w:val="ListParagraph"/>
        <w:numPr>
          <w:ilvl w:val="0"/>
          <w:numId w:val="2"/>
        </w:numPr>
        <w:spacing w:after="70" w:line="270"/>
      </w:pPr>
      <w:r>
        <w:rPr>
          <w:rFonts w:ascii="Calibri" w:cs="Calibri" w:eastAsia="Calibri" w:hAnsi="Calibri"/>
          <w:b/>
          <w:bCs/>
          <w:color w:val="222222"/>
          <w:sz w:val="21"/>
          <w:szCs w:val="21"/>
        </w:rPr>
        <w:t xml:space="preserve">Natura 2000 ZPS (avifaune)</w:t>
      </w:r>
      <w:r>
        <w:rPr>
          <w:rFonts w:ascii="Calibri" w:cs="Calibri" w:eastAsia="Calibri" w:hAnsi="Calibri"/>
          <w:color w:val="222222"/>
          <w:sz w:val="21"/>
          <w:szCs w:val="21"/>
        </w:rPr>
        <w:t xml:space="preserve"> : sans être une interdiction de principe, l'enjeu oiseaux y est le plus souvent rédhibitoire en pratique.</w:t>
      </w:r>
    </w:p>
    <w:p>
      <w:pPr>
        <w:pStyle w:val="Heading2"/>
        <w:spacing w:after="100" w:before="240"/>
      </w:pPr>
      <w:r>
        <w:rPr>
          <w:rFonts w:ascii="Calibri" w:cs="Calibri" w:eastAsia="Calibri" w:hAnsi="Calibri"/>
          <w:b/>
          <w:bCs/>
          <w:color w:val="2E5496"/>
          <w:sz w:val="25"/>
          <w:szCs w:val="25"/>
        </w:rPr>
        <w:t xml:space="preserve">3.2 Les principaux pénalisants</w:t>
      </w:r>
    </w:p>
    <w:p>
      <w:pPr>
        <w:spacing w:after="120" w:line="276"/>
        <w:jc w:val="both"/>
      </w:pPr>
      <w:r>
        <w:rPr>
          <w:rFonts w:ascii="Calibri" w:cs="Calibri" w:eastAsia="Calibri" w:hAnsi="Calibri"/>
          <w:color w:val="222222"/>
          <w:sz w:val="21"/>
          <w:szCs w:val="21"/>
        </w:rPr>
        <w:t xml:space="preserve">Les reculs « effet de chute » vis-à-vis des lignes électriques, canalisations de gaz, routes structurantes et voies ferrées (au moins la hauteur totale de la machine) ; les enjeux chiroptères (recul de 200 m aux lisières et haies, bridage) ; la covisibilité avec les monuments historiques et la saturation visuelle des bourgs ; les faisceaux hertziens ; et la compatibilité avec les chartes de PNR, souvent restrictives. Le </w:t>
      </w:r>
      <w:r>
        <w:rPr>
          <w:rFonts w:ascii="Calibri" w:cs="Calibri" w:eastAsia="Calibri" w:hAnsi="Calibri"/>
          <w:b/>
          <w:bCs/>
          <w:color w:val="222222"/>
          <w:sz w:val="21"/>
          <w:szCs w:val="21"/>
        </w:rPr>
        <w:t xml:space="preserve">gisement de vent</w:t>
      </w:r>
      <w:r>
        <w:rPr>
          <w:rFonts w:ascii="Calibri" w:cs="Calibri" w:eastAsia="Calibri" w:hAnsi="Calibri"/>
          <w:color w:val="222222"/>
          <w:sz w:val="21"/>
          <w:szCs w:val="21"/>
        </w:rPr>
        <w:t xml:space="preserve"> (≥ 5-6 m/s à hauteur de moyeu) et la disponibilité de capacité de raccordement conditionnent enfin la viabilité économique.</w:t>
      </w:r>
    </w:p>
    <w:p>
      <w:r>
        <w:br w:type="page"/>
      </w:r>
    </w:p>
    <w:p>
      <w:pPr>
        <w:pStyle w:val="Heading1"/>
        <w:spacing w:after="140" w:before="320"/>
      </w:pPr>
      <w:r>
        <w:rPr>
          <w:rFonts w:ascii="Calibri" w:cs="Calibri" w:eastAsia="Calibri" w:hAnsi="Calibri"/>
          <w:b/>
          <w:bCs/>
          <w:color w:val="1F3864"/>
          <w:sz w:val="30"/>
          <w:szCs w:val="30"/>
        </w:rPr>
        <w:t xml:space="preserve">4. Focus solaire au sol</w:t>
      </w:r>
    </w:p>
    <w:p>
      <w:pPr>
        <w:spacing w:after="120" w:line="276"/>
        <w:jc w:val="both"/>
      </w:pPr>
      <w:r>
        <w:rPr>
          <w:rFonts w:ascii="Calibri" w:cs="Calibri" w:eastAsia="Calibri" w:hAnsi="Calibri"/>
          <w:color w:val="222222"/>
          <w:sz w:val="21"/>
          <w:szCs w:val="21"/>
        </w:rPr>
        <w:t xml:space="preserve">Pour le photovoltaïque au sol, l'axe de tri numéro un n'est pas une distance mais l'</w:t>
      </w:r>
      <w:r>
        <w:rPr>
          <w:rFonts w:ascii="Calibri" w:cs="Calibri" w:eastAsia="Calibri" w:hAnsi="Calibri"/>
          <w:b/>
          <w:bCs/>
          <w:color w:val="222222"/>
          <w:sz w:val="21"/>
          <w:szCs w:val="21"/>
        </w:rPr>
        <w:t xml:space="preserve">usage du sol</w:t>
      </w:r>
      <w:r>
        <w:rPr>
          <w:rFonts w:ascii="Calibri" w:cs="Calibri" w:eastAsia="Calibri" w:hAnsi="Calibri"/>
          <w:color w:val="222222"/>
          <w:sz w:val="21"/>
          <w:szCs w:val="21"/>
        </w:rPr>
        <w:t xml:space="preserve">. La doctrine de l'État privilégie fortement les terrains dégradés, anthropisés ou en friche, et proscrit ou contraint lourdement les terres agricoles cultivées et les espaces naturels et forestiers. La feuille « Solaire au sol » détaille 60 contraintes.</w:t>
      </w:r>
    </w:p>
    <w:p>
      <w:pPr>
        <w:pStyle w:val="Heading2"/>
        <w:spacing w:after="100" w:before="240"/>
      </w:pPr>
      <w:r>
        <w:rPr>
          <w:rFonts w:ascii="Calibri" w:cs="Calibri" w:eastAsia="Calibri" w:hAnsi="Calibri"/>
          <w:b/>
          <w:bCs/>
          <w:color w:val="2E5496"/>
          <w:sz w:val="25"/>
          <w:szCs w:val="25"/>
        </w:rPr>
        <w:t xml:space="preserve">4.1 La logique foncière (à coder comme un score, pas un booléen)</w:t>
      </w:r>
    </w:p>
    <w:p>
      <w:pPr>
        <w:spacing w:after="120" w:line="276"/>
        <w:jc w:val="both"/>
      </w:pPr>
      <w:r>
        <w:rPr>
          <w:rFonts w:ascii="Calibri" w:cs="Calibri" w:eastAsia="Calibri" w:hAnsi="Calibri"/>
          <w:color w:val="222222"/>
          <w:sz w:val="21"/>
          <w:szCs w:val="21"/>
        </w:rPr>
        <w:t xml:space="preserve">Sont </w:t>
      </w:r>
      <w:r>
        <w:rPr>
          <w:rFonts w:ascii="Calibri" w:cs="Calibri" w:eastAsia="Calibri" w:hAnsi="Calibri"/>
          <w:b/>
          <w:bCs/>
          <w:color w:val="548235"/>
          <w:sz w:val="21"/>
          <w:szCs w:val="21"/>
        </w:rPr>
        <w:t xml:space="preserve">favorables</w:t>
      </w:r>
      <w:r>
        <w:rPr>
          <w:rFonts w:ascii="Calibri" w:cs="Calibri" w:eastAsia="Calibri" w:hAnsi="Calibri"/>
          <w:color w:val="222222"/>
          <w:sz w:val="21"/>
          <w:szCs w:val="21"/>
        </w:rPr>
        <w:t xml:space="preserve"> et à cibler en priorité les terrains listés à l'article R.111-58 du Code de l'urbanisme : anciennes carrières, friches industrielles et sites pollués, anciennes décharges (ISDND/ISDD/ISDI), anciennes mines, aérodromes désaffectés, délaissés d'infrastructures, plans d'eau artificiels, zones de danger de sites SEVESO, terrains pollués ou militaires, et terrains incultes ou non exploités depuis au moins dix ans. Ces catégories se reconstituent à partir de Cartofriches, BASOL/BASIAS, la base carrières du BRGM et l'imagerie historique de l'IGN.</w:t>
      </w:r>
    </w:p>
    <w:p>
      <w:pPr>
        <w:spacing w:after="120" w:line="276"/>
        <w:jc w:val="both"/>
      </w:pPr>
      <w:r>
        <w:rPr>
          <w:rFonts w:ascii="Calibri" w:cs="Calibri" w:eastAsia="Calibri" w:hAnsi="Calibri"/>
          <w:color w:val="222222"/>
          <w:sz w:val="21"/>
          <w:szCs w:val="21"/>
        </w:rPr>
        <w:t xml:space="preserve">À l'inverse, une </w:t>
      </w:r>
      <w:r>
        <w:rPr>
          <w:rFonts w:ascii="Calibri" w:cs="Calibri" w:eastAsia="Calibri" w:hAnsi="Calibri"/>
          <w:b/>
          <w:bCs/>
          <w:color w:val="222222"/>
          <w:sz w:val="21"/>
          <w:szCs w:val="21"/>
        </w:rPr>
        <w:t xml:space="preserve">terre agricole cultivée hors liste du document-cadre départemental est rédhibitoire</w:t>
      </w:r>
      <w:r>
        <w:rPr>
          <w:rFonts w:ascii="Calibri" w:cs="Calibri" w:eastAsia="Calibri" w:hAnsi="Calibri"/>
          <w:color w:val="222222"/>
          <w:sz w:val="21"/>
          <w:szCs w:val="21"/>
        </w:rPr>
        <w:t xml:space="preserve">, et l'implantation sur terrain agricole/naturel/forestier relève du cadre agrivoltaïsme (section 5).</w:t>
      </w:r>
    </w:p>
    <w:p>
      <w:pPr>
        <w:pStyle w:val="Heading2"/>
        <w:spacing w:after="100" w:before="240"/>
      </w:pPr>
      <w:r>
        <w:rPr>
          <w:rFonts w:ascii="Calibri" w:cs="Calibri" w:eastAsia="Calibri" w:hAnsi="Calibri"/>
          <w:b/>
          <w:bCs/>
          <w:color w:val="2E5496"/>
          <w:sz w:val="25"/>
          <w:szCs w:val="25"/>
        </w:rPr>
        <w:t xml:space="preserve">4.2 Le risque inondation, enjeu majeur et ambivalent</w:t>
      </w:r>
    </w:p>
    <w:p>
      <w:pPr>
        <w:spacing w:after="120" w:line="276"/>
        <w:jc w:val="both"/>
      </w:pPr>
      <w:r>
        <w:rPr>
          <w:rFonts w:ascii="Calibri" w:cs="Calibri" w:eastAsia="Calibri" w:hAnsi="Calibri"/>
          <w:color w:val="222222"/>
          <w:sz w:val="21"/>
          <w:szCs w:val="21"/>
        </w:rPr>
        <w:t xml:space="preserve">Le PV au sol est fréquemment envisagé sur des terrains sans autre usage, donc souvent en zone inondable. En zone rouge de PPRi, l'implantation est exceptionnelle et n'est admise qu'à la condition d'une </w:t>
      </w:r>
      <w:r>
        <w:rPr>
          <w:rFonts w:ascii="Calibri" w:cs="Calibri" w:eastAsia="Calibri" w:hAnsi="Calibri"/>
          <w:b/>
          <w:bCs/>
          <w:color w:val="222222"/>
          <w:sz w:val="21"/>
          <w:szCs w:val="21"/>
        </w:rPr>
        <w:t xml:space="preserve">transparence hydraulique</w:t>
      </w:r>
      <w:r>
        <w:rPr>
          <w:rFonts w:ascii="Calibri" w:cs="Calibri" w:eastAsia="Calibri" w:hAnsi="Calibri"/>
          <w:color w:val="222222"/>
          <w:sz w:val="21"/>
          <w:szCs w:val="21"/>
        </w:rPr>
        <w:t xml:space="preserve"> (structures sur pieux battus, absence d'obstacle à l'écoulement, locaux techniques hors d'eau, réversibilité). La couche Géorisques PPRi est donc à intégrer non comme une simple exclusion mais avec la nuance zone rouge / zone bleue.</w:t>
      </w:r>
    </w:p>
    <w:p>
      <w:pPr>
        <w:pStyle w:val="Heading2"/>
        <w:spacing w:after="100" w:before="240"/>
      </w:pPr>
      <w:r>
        <w:rPr>
          <w:rFonts w:ascii="Calibri" w:cs="Calibri" w:eastAsia="Calibri" w:hAnsi="Calibri"/>
          <w:b/>
          <w:bCs/>
          <w:color w:val="2E5496"/>
          <w:sz w:val="25"/>
          <w:szCs w:val="25"/>
        </w:rPr>
        <w:t xml:space="preserve">4.3 Procédures et seuils à jour</w:t>
      </w:r>
    </w:p>
    <w:p>
      <w:pPr>
        <w:spacing w:after="120" w:line="276"/>
        <w:jc w:val="both"/>
      </w:pPr>
      <w:r>
        <w:rPr>
          <w:rFonts w:ascii="Calibri" w:cs="Calibri" w:eastAsia="Calibri" w:hAnsi="Calibri"/>
          <w:color w:val="222222"/>
          <w:sz w:val="21"/>
          <w:szCs w:val="21"/>
        </w:rPr>
        <w:t xml:space="preserve">Permis de construire dès 1 MWc (et quelle que soit la puissance en secteur protégé). Étude d'impact désormais </w:t>
      </w:r>
      <w:r>
        <w:rPr>
          <w:rFonts w:ascii="Calibri" w:cs="Calibri" w:eastAsia="Calibri" w:hAnsi="Calibri"/>
          <w:b/>
          <w:bCs/>
          <w:color w:val="222222"/>
          <w:sz w:val="21"/>
          <w:szCs w:val="21"/>
        </w:rPr>
        <w:t xml:space="preserve">systématique à partir de 3 MWc</w:t>
      </w:r>
      <w:r>
        <w:rPr>
          <w:rFonts w:ascii="Calibri" w:cs="Calibri" w:eastAsia="Calibri" w:hAnsi="Calibri"/>
          <w:color w:val="222222"/>
          <w:sz w:val="21"/>
          <w:szCs w:val="21"/>
        </w:rPr>
        <w:t xml:space="preserve"> et au cas par cas de 300 kWc à 3 MWc — le seuil ayant été relevé de 1 à 3 MWc par le décret n° 2026-674 du 27 juillet 2026.</w:t>
      </w:r>
    </w:p>
    <w:p>
      <w:r>
        <w:br w:type="page"/>
      </w:r>
    </w:p>
    <w:p>
      <w:pPr>
        <w:pStyle w:val="Heading1"/>
        <w:spacing w:after="140" w:before="320"/>
      </w:pPr>
      <w:r>
        <w:rPr>
          <w:rFonts w:ascii="Calibri" w:cs="Calibri" w:eastAsia="Calibri" w:hAnsi="Calibri"/>
          <w:b/>
          <w:bCs/>
          <w:color w:val="1F3864"/>
          <w:sz w:val="30"/>
          <w:szCs w:val="30"/>
        </w:rPr>
        <w:t xml:space="preserve">5. Focus agrivoltaïsme</w:t>
      </w:r>
    </w:p>
    <w:p>
      <w:pPr>
        <w:spacing w:after="120" w:line="276"/>
        <w:jc w:val="both"/>
      </w:pPr>
      <w:r>
        <w:rPr>
          <w:rFonts w:ascii="Calibri" w:cs="Calibri" w:eastAsia="Calibri" w:hAnsi="Calibri"/>
          <w:color w:val="222222"/>
          <w:sz w:val="21"/>
          <w:szCs w:val="21"/>
        </w:rPr>
        <w:t xml:space="preserve">L'agrivoltaïsme obéit à un cadre spécifique et récent (loi APER article 54, décret n° 2024-318 du 8 avril 2024, arrêté du 5 juillet 2024, instruction technique du 18 février 2025). Point structurant pour l'application : il faut distinguer </w:t>
      </w:r>
      <w:r>
        <w:rPr>
          <w:rFonts w:ascii="Calibri" w:cs="Calibri" w:eastAsia="Calibri" w:hAnsi="Calibri"/>
          <w:b/>
          <w:bCs/>
          <w:color w:val="222222"/>
          <w:sz w:val="21"/>
          <w:szCs w:val="21"/>
        </w:rPr>
        <w:t xml:space="preserve">deux régimes</w:t>
      </w:r>
      <w:r>
        <w:rPr>
          <w:rFonts w:ascii="Calibri" w:cs="Calibri" w:eastAsia="Calibri" w:hAnsi="Calibri"/>
          <w:color w:val="222222"/>
          <w:sz w:val="21"/>
          <w:szCs w:val="21"/>
        </w:rPr>
        <w:t xml:space="preserve">, à traiter comme deux jeux de critères. La feuille « Agrivoltaïsme » détaille 52 contraintes.</w:t>
      </w:r>
    </w:p>
    <w:p>
      <w:pPr>
        <w:pStyle w:val="Heading3"/>
        <w:spacing w:after="80" w:before="180"/>
      </w:pPr>
      <w:r>
        <w:rPr>
          <w:rFonts w:ascii="Calibri" w:cs="Calibri" w:eastAsia="Calibri" w:hAnsi="Calibri"/>
          <w:b/>
          <w:bCs/>
          <w:color w:val="333333"/>
          <w:sz w:val="22"/>
          <w:szCs w:val="22"/>
        </w:rPr>
        <w:t xml:space="preserve">Régime A — l'agrivoltaïsme proprement dit</w:t>
      </w:r>
    </w:p>
    <w:p>
      <w:pPr>
        <w:spacing w:after="120" w:line="276"/>
        <w:jc w:val="both"/>
      </w:pPr>
      <w:r>
        <w:rPr>
          <w:rFonts w:ascii="Calibri" w:cs="Calibri" w:eastAsia="Calibri" w:hAnsi="Calibri"/>
          <w:color w:val="222222"/>
          <w:sz w:val="21"/>
          <w:szCs w:val="21"/>
        </w:rPr>
        <w:t xml:space="preserve">L'installation doit rendre un service à la parcelle agricole, la production restant l'activité principale. Les critères sont pour l'essentiel des critères projet, non cartographiables, mais décisifs :</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4400"/>
        <w:gridCol w:w="4600"/>
      </w:tblGrid>
      <w:tr>
        <w:trPr>
          <w:tblHeader/>
        </w:trPr>
        <w:tc>
          <w:tcPr>
            <w:tcW w:type="dxa" w:w="4400"/>
            <w:shd w:fill="2E5496" w:color="auto" w:val="clear"/>
            <w:tcMar>
              <w:top w:type="dxa" w:w="40"/>
              <w:left w:type="dxa" w:w="80"/>
              <w:bottom w:type="dxa" w:w="40"/>
              <w:right w:type="dxa" w:w="80"/>
            </w:tcMar>
          </w:tcPr>
          <w:p>
            <w:r>
              <w:rPr>
                <w:rFonts w:ascii="Calibri" w:cs="Calibri" w:eastAsia="Calibri" w:hAnsi="Calibri"/>
                <w:b/>
                <w:bCs/>
                <w:color w:val="FFFFFF"/>
                <w:sz w:val="19"/>
                <w:szCs w:val="19"/>
              </w:rPr>
              <w:t xml:space="preserve">Critère</w:t>
            </w:r>
          </w:p>
        </w:tc>
        <w:tc>
          <w:tcPr>
            <w:tcW w:type="dxa" w:w="4600"/>
            <w:shd w:fill="2E5496" w:color="auto" w:val="clear"/>
            <w:tcMar>
              <w:top w:type="dxa" w:w="40"/>
              <w:left w:type="dxa" w:w="80"/>
              <w:bottom w:type="dxa" w:w="40"/>
              <w:right w:type="dxa" w:w="80"/>
            </w:tcMar>
          </w:tcPr>
          <w:p>
            <w:r>
              <w:rPr>
                <w:rFonts w:ascii="Calibri" w:cs="Calibri" w:eastAsia="Calibri" w:hAnsi="Calibri"/>
                <w:b/>
                <w:bCs/>
                <w:color w:val="FFFFFF"/>
                <w:sz w:val="19"/>
                <w:szCs w:val="19"/>
              </w:rPr>
              <w:t xml:space="preserve">Seuil</w:t>
            </w:r>
          </w:p>
        </w:tc>
      </w:tr>
      <w:tr>
        <w:tc>
          <w:tcPr>
            <w:tcW w:type="dxa" w:w="44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Service rendu à la parcelle</w:t>
            </w:r>
          </w:p>
        </w:tc>
        <w:tc>
          <w:tcPr>
            <w:tcW w:type="dxa" w:w="4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 1 des 4 services (agronomie, climat, aléas, bien-être animal)</w:t>
            </w:r>
          </w:p>
        </w:tc>
      </w:tr>
      <w:tr>
        <w:tc>
          <w:tcPr>
            <w:tcW w:type="dxa" w:w="44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Taux de couverture au sol</w:t>
            </w:r>
          </w:p>
        </w:tc>
        <w:tc>
          <w:tcPr>
            <w:tcW w:type="dxa" w:w="46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 40 % (hors élevage/prairie et hors technologie éprouvée)</w:t>
            </w:r>
          </w:p>
        </w:tc>
      </w:tr>
      <w:tr>
        <w:tc>
          <w:tcPr>
            <w:tcW w:type="dxa" w:w="44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Perte de rendement agricole</w:t>
            </w:r>
          </w:p>
        </w:tc>
        <w:tc>
          <w:tcPr>
            <w:tcW w:type="dxa" w:w="4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 10 % (rendement ≥ 90 % de la zone témoin)</w:t>
            </w:r>
          </w:p>
        </w:tc>
      </w:tr>
      <w:tr>
        <w:tc>
          <w:tcPr>
            <w:tcW w:type="dxa" w:w="44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Zone témoin</w:t>
            </w:r>
          </w:p>
        </w:tc>
        <w:tc>
          <w:tcPr>
            <w:tcW w:type="dxa" w:w="46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 5 % de l'aménagement, plafonnée à 1 ha</w:t>
            </w:r>
          </w:p>
        </w:tc>
      </w:tr>
      <w:tr>
        <w:tc>
          <w:tcPr>
            <w:tcW w:type="dxa" w:w="44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Surface rendue non exploitable</w:t>
            </w:r>
          </w:p>
        </w:tc>
        <w:tc>
          <w:tcPr>
            <w:tcW w:type="dxa" w:w="4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 10 %</w:t>
            </w:r>
          </w:p>
        </w:tc>
      </w:tr>
      <w:tr>
        <w:tc>
          <w:tcPr>
            <w:tcW w:type="dxa" w:w="44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Durée / réversibilité</w:t>
            </w:r>
          </w:p>
        </w:tc>
        <w:tc>
          <w:tcPr>
            <w:tcW w:type="dxa" w:w="46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40 ans (+10 ans) ; démantèlement sous 1 an (jusqu'à 3 ans)</w:t>
            </w:r>
          </w:p>
        </w:tc>
      </w:tr>
      <w:tr>
        <w:tc>
          <w:tcPr>
            <w:tcW w:type="dxa" w:w="44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Garanties financières</w:t>
            </w:r>
          </w:p>
        </w:tc>
        <w:tc>
          <w:tcPr>
            <w:tcW w:type="dxa" w:w="4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1 000 €/MWc (&lt; 10 MWc) ; 10 000 €/MWc (&gt; 10 MWc)</w:t>
            </w:r>
          </w:p>
        </w:tc>
      </w:tr>
    </w:tbl>
    <w:p>
      <w:pPr>
        <w:spacing w:after="60"/>
      </w:pPr>
      <w:r>
        <w:rPr>
          <w:rFonts w:ascii="Calibri" w:cs="Calibri" w:eastAsia="Calibri" w:hAnsi="Calibri"/>
          <w:color w:val="222222"/>
          <w:sz w:val="21"/>
          <w:szCs w:val="21"/>
        </w:rPr>
        <w:t xml:space="preserve"/>
      </w:r>
    </w:p>
    <w:p>
      <w:pPr>
        <w:pStyle w:val="Heading3"/>
        <w:spacing w:after="80" w:before="180"/>
      </w:pPr>
      <w:r>
        <w:rPr>
          <w:rFonts w:ascii="Calibri" w:cs="Calibri" w:eastAsia="Calibri" w:hAnsi="Calibri"/>
          <w:b/>
          <w:bCs/>
          <w:color w:val="333333"/>
          <w:sz w:val="22"/>
          <w:szCs w:val="22"/>
        </w:rPr>
        <w:t xml:space="preserve">Régime B — PV au sol sur terres agricoles/naturelles/forestières</w:t>
      </w:r>
    </w:p>
    <w:p>
      <w:pPr>
        <w:spacing w:after="120" w:line="276"/>
        <w:jc w:val="both"/>
      </w:pPr>
      <w:r>
        <w:rPr>
          <w:rFonts w:ascii="Calibri" w:cs="Calibri" w:eastAsia="Calibri" w:hAnsi="Calibri"/>
          <w:color w:val="222222"/>
          <w:sz w:val="21"/>
          <w:szCs w:val="21"/>
        </w:rPr>
        <w:t xml:space="preserve">Hors agrivoltaïsme, le PV au sol sur ces terres n'est possible que si le </w:t>
      </w:r>
      <w:r>
        <w:rPr>
          <w:rFonts w:ascii="Calibri" w:cs="Calibri" w:eastAsia="Calibri" w:hAnsi="Calibri"/>
          <w:b/>
          <w:bCs/>
          <w:color w:val="222222"/>
          <w:sz w:val="21"/>
          <w:szCs w:val="21"/>
        </w:rPr>
        <w:t xml:space="preserve">document-cadre départemental</w:t>
      </w:r>
      <w:r>
        <w:rPr>
          <w:rFonts w:ascii="Calibri" w:cs="Calibri" w:eastAsia="Calibri" w:hAnsi="Calibri"/>
          <w:color w:val="222222"/>
          <w:sz w:val="21"/>
          <w:szCs w:val="21"/>
        </w:rPr>
        <w:t xml:space="preserve"> existe et liste le terrain (terrains réputés incultes ou non exploités depuis dix ans, friches, carrières, etc.). Sans document-cadre publié, le régime B est bloqué dans le département. C'est le verrou numéro un à modéliser : une couche « département couvert / non couvert » et, quand il existe, la liste des terrains éligibles.</w:t>
      </w:r>
    </w:p>
    <w:p>
      <w:pPr>
        <w:pStyle w:val="Heading3"/>
        <w:spacing w:after="80" w:before="180"/>
      </w:pPr>
      <w:r>
        <w:rPr>
          <w:rFonts w:ascii="Calibri" w:cs="Calibri" w:eastAsia="Calibri" w:hAnsi="Calibri"/>
          <w:b/>
          <w:bCs/>
          <w:color w:val="333333"/>
          <w:sz w:val="22"/>
          <w:szCs w:val="22"/>
        </w:rPr>
        <w:t xml:space="preserve">Le point commun aux deux régimes : la CDPENAF</w:t>
      </w:r>
    </w:p>
    <w:p>
      <w:pPr>
        <w:spacing w:after="120" w:line="276"/>
        <w:jc w:val="both"/>
      </w:pPr>
      <w:r>
        <w:rPr>
          <w:rFonts w:ascii="Calibri" w:cs="Calibri" w:eastAsia="Calibri" w:hAnsi="Calibri"/>
          <w:color w:val="222222"/>
          <w:sz w:val="21"/>
          <w:szCs w:val="21"/>
        </w:rPr>
        <w:t xml:space="preserve">La Commission départementale de préservation des espaces naturels, agricoles et forestiers rend un </w:t>
      </w:r>
      <w:r>
        <w:rPr>
          <w:rFonts w:ascii="Calibri" w:cs="Calibri" w:eastAsia="Calibri" w:hAnsi="Calibri"/>
          <w:b/>
          <w:bCs/>
          <w:color w:val="222222"/>
          <w:sz w:val="21"/>
          <w:szCs w:val="21"/>
        </w:rPr>
        <w:t xml:space="preserve">avis conforme</w:t>
      </w:r>
      <w:r>
        <w:rPr>
          <w:rFonts w:ascii="Calibri" w:cs="Calibri" w:eastAsia="Calibri" w:hAnsi="Calibri"/>
          <w:color w:val="222222"/>
          <w:sz w:val="21"/>
          <w:szCs w:val="21"/>
        </w:rPr>
        <w:t xml:space="preserve"> (contraignant) : un avis défavorable bloque le projet. Ses critères d'appréciation (qualité agronomique, mitage, surface) varient d'un département à l'autre et constituent des règles métier à intégrer département par département.</w:t>
      </w:r>
    </w:p>
    <w:p>
      <w:r>
        <w:br w:type="page"/>
      </w:r>
    </w:p>
    <w:p>
      <w:pPr>
        <w:pStyle w:val="Heading1"/>
        <w:spacing w:after="140" w:before="320"/>
      </w:pPr>
      <w:r>
        <w:rPr>
          <w:rFonts w:ascii="Calibri" w:cs="Calibri" w:eastAsia="Calibri" w:hAnsi="Calibri"/>
          <w:b/>
          <w:bCs/>
          <w:color w:val="1F3864"/>
          <w:sz w:val="30"/>
          <w:szCs w:val="30"/>
        </w:rPr>
        <w:t xml:space="preserve">6. Focus stockage par batterie (BESS)</w:t>
      </w:r>
    </w:p>
    <w:p>
      <w:pPr>
        <w:spacing w:after="120" w:line="276"/>
        <w:jc w:val="both"/>
      </w:pPr>
      <w:r>
        <w:rPr>
          <w:rFonts w:ascii="Calibri" w:cs="Calibri" w:eastAsia="Calibri" w:hAnsi="Calibri"/>
          <w:color w:val="222222"/>
          <w:sz w:val="21"/>
          <w:szCs w:val="21"/>
        </w:rPr>
        <w:t xml:space="preserve">Le stockage stationnaire par batterie a une logique d'implantation </w:t>
      </w:r>
      <w:r>
        <w:rPr>
          <w:rFonts w:ascii="Calibri" w:cs="Calibri" w:eastAsia="Calibri" w:hAnsi="Calibri"/>
          <w:b/>
          <w:bCs/>
          <w:color w:val="222222"/>
          <w:sz w:val="21"/>
          <w:szCs w:val="21"/>
        </w:rPr>
        <w:t xml:space="preserve">plus industrielle qu'agricole</w:t>
      </w:r>
      <w:r>
        <w:rPr>
          <w:rFonts w:ascii="Calibri" w:cs="Calibri" w:eastAsia="Calibri" w:hAnsi="Calibri"/>
          <w:color w:val="222222"/>
          <w:sz w:val="21"/>
          <w:szCs w:val="21"/>
        </w:rPr>
        <w:t xml:space="preserve"> : il se rapproche d'un équipement de réseau. La feuille « Stockage batterie (BESS) » détaille 43 contraintes.</w:t>
      </w:r>
    </w:p>
    <w:p>
      <w:pPr>
        <w:pStyle w:val="Heading2"/>
        <w:spacing w:after="100" w:before="240"/>
      </w:pPr>
      <w:r>
        <w:rPr>
          <w:rFonts w:ascii="Calibri" w:cs="Calibri" w:eastAsia="Calibri" w:hAnsi="Calibri"/>
          <w:b/>
          <w:bCs/>
          <w:color w:val="2E5496"/>
          <w:sz w:val="25"/>
          <w:szCs w:val="25"/>
        </w:rPr>
        <w:t xml:space="preserve">6.1 Les trois filtres rédhibitoires de tête</w:t>
      </w:r>
    </w:p>
    <w:p>
      <w:pPr>
        <w:pStyle w:val="ListParagraph"/>
        <w:numPr>
          <w:ilvl w:val="0"/>
          <w:numId w:val="2"/>
        </w:numPr>
        <w:spacing w:after="70" w:line="270"/>
      </w:pPr>
      <w:r>
        <w:rPr>
          <w:rFonts w:ascii="Calibri" w:cs="Calibri" w:eastAsia="Calibri" w:hAnsi="Calibri"/>
          <w:b/>
          <w:bCs/>
          <w:color w:val="222222"/>
          <w:sz w:val="21"/>
          <w:szCs w:val="21"/>
        </w:rPr>
        <w:t xml:space="preserve">Raccordement — c'est le critère décisif n°1</w:t>
      </w:r>
      <w:r>
        <w:rPr>
          <w:rFonts w:ascii="Calibri" w:cs="Calibri" w:eastAsia="Calibri" w:hAnsi="Calibri"/>
          <w:color w:val="222222"/>
          <w:sz w:val="21"/>
          <w:szCs w:val="21"/>
        </w:rPr>
        <w:t xml:space="preserve">. En pratique de marché, le site doit être à moins de 2 km à vol d'oiseau d'un poste source disposant de capacité d'accueil (S3REnR non saturé). Au-delà, le coût de raccordement devient rédhibitoire. Caparéseau est donc la couche à croiser en tout premier.</w:t>
      </w:r>
    </w:p>
    <w:p>
      <w:pPr>
        <w:pStyle w:val="ListParagraph"/>
        <w:numPr>
          <w:ilvl w:val="0"/>
          <w:numId w:val="2"/>
        </w:numPr>
        <w:spacing w:after="70" w:line="270"/>
      </w:pPr>
      <w:r>
        <w:rPr>
          <w:rFonts w:ascii="Calibri" w:cs="Calibri" w:eastAsia="Calibri" w:hAnsi="Calibri"/>
          <w:b/>
          <w:bCs/>
          <w:color w:val="222222"/>
          <w:sz w:val="21"/>
          <w:szCs w:val="21"/>
        </w:rPr>
        <w:t xml:space="preserve">Zonage d'urbanisme</w:t>
      </w:r>
      <w:r>
        <w:rPr>
          <w:rFonts w:ascii="Calibri" w:cs="Calibri" w:eastAsia="Calibri" w:hAnsi="Calibri"/>
          <w:color w:val="222222"/>
          <w:sz w:val="21"/>
          <w:szCs w:val="21"/>
        </w:rPr>
        <w:t xml:space="preserve"> : le BESS est favorable en zones U/AU à vocation économique ou industrielle, et défavorable en zones agricoles (A) et naturelles (N). L'admission en A/N suppose une qualification d'« équipement d'intérêt collectif » dont la jurisprudence reste divisée — donc un risque contentieux fort.</w:t>
      </w:r>
    </w:p>
    <w:p>
      <w:pPr>
        <w:pStyle w:val="ListParagraph"/>
        <w:numPr>
          <w:ilvl w:val="0"/>
          <w:numId w:val="2"/>
        </w:numPr>
        <w:spacing w:after="70" w:line="270"/>
      </w:pPr>
      <w:r>
        <w:rPr>
          <w:rFonts w:ascii="Calibri" w:cs="Calibri" w:eastAsia="Calibri" w:hAnsi="Calibri"/>
          <w:b/>
          <w:bCs/>
          <w:color w:val="222222"/>
          <w:sz w:val="21"/>
          <w:szCs w:val="21"/>
        </w:rPr>
        <w:t xml:space="preserve">Risques et périmètres stricts</w:t>
      </w:r>
      <w:r>
        <w:rPr>
          <w:rFonts w:ascii="Calibri" w:cs="Calibri" w:eastAsia="Calibri" w:hAnsi="Calibri"/>
          <w:color w:val="222222"/>
          <w:sz w:val="21"/>
          <w:szCs w:val="21"/>
        </w:rPr>
        <w:t xml:space="preserve"> : PPRi rouge (les équipements électriques y sont très sensibles), périmètres PPRT, cœurs de Natura 2000, sites classés.</w:t>
      </w:r>
    </w:p>
    <w:p>
      <w:pPr>
        <w:pStyle w:val="Heading2"/>
        <w:spacing w:after="100" w:before="240"/>
      </w:pPr>
      <w:r>
        <w:rPr>
          <w:rFonts w:ascii="Calibri" w:cs="Calibri" w:eastAsia="Calibri" w:hAnsi="Calibri"/>
          <w:b/>
          <w:bCs/>
          <w:color w:val="2E5496"/>
          <w:sz w:val="25"/>
          <w:szCs w:val="25"/>
        </w:rPr>
        <w:t xml:space="preserve">6.2 Les distances de sécurité incendie (dimensionnantes)</w:t>
      </w:r>
    </w:p>
    <w:p>
      <w:pPr>
        <w:spacing w:after="120" w:line="276"/>
        <w:jc w:val="both"/>
      </w:pPr>
      <w:r>
        <w:rPr>
          <w:rFonts w:ascii="Calibri" w:cs="Calibri" w:eastAsia="Calibri" w:hAnsi="Calibri"/>
          <w:color w:val="222222"/>
          <w:sz w:val="21"/>
          <w:szCs w:val="21"/>
        </w:rPr>
        <w:t xml:space="preserve">Le risque d'emballement thermique du lithium-ion impose des distances de sécurité qui écartent les parcelles proches de tiers, d'ERP, d'habitations et de lisières forestières : de l'ordre de 7 à 12 m des limites de propriété, 7 m entre conteneurs, et au moins 50 m des zones naturelles combustibles. S'y ajoute une exigence de </w:t>
      </w:r>
      <w:r>
        <w:rPr>
          <w:rFonts w:ascii="Calibri" w:cs="Calibri" w:eastAsia="Calibri" w:hAnsi="Calibri"/>
          <w:b/>
          <w:bCs/>
          <w:color w:val="222222"/>
          <w:sz w:val="21"/>
          <w:szCs w:val="21"/>
        </w:rPr>
        <w:t xml:space="preserve">défense incendie</w:t>
      </w:r>
      <w:r>
        <w:rPr>
          <w:rFonts w:ascii="Calibri" w:cs="Calibri" w:eastAsia="Calibri" w:hAnsi="Calibri"/>
          <w:color w:val="222222"/>
          <w:sz w:val="21"/>
          <w:szCs w:val="21"/>
        </w:rPr>
        <w:t xml:space="preserve"> (besoins en eau très élevés, rétention des eaux d'extinction, accès et aire de retournement pour les engins des pompiers) qui peut disqualifier un site isolé sans ressource en eau.</w:t>
      </w:r>
    </w:p>
    <w:p>
      <w:pPr>
        <w:pStyle w:val="Heading2"/>
        <w:spacing w:after="100" w:before="240"/>
      </w:pPr>
      <w:r>
        <w:rPr>
          <w:rFonts w:ascii="Calibri" w:cs="Calibri" w:eastAsia="Calibri" w:hAnsi="Calibri"/>
          <w:b/>
          <w:bCs/>
          <w:color w:val="2E5496"/>
          <w:sz w:val="25"/>
          <w:szCs w:val="25"/>
        </w:rPr>
        <w:t xml:space="preserve">6.3 Un cadre réglementaire en mutation — vigilance</w:t>
      </w:r>
    </w:p>
    <w:p>
      <w:pPr>
        <w:spacing w:after="120" w:line="276"/>
        <w:jc w:val="both"/>
      </w:pPr>
      <w:r>
        <w:rPr>
          <w:rFonts w:ascii="Calibri" w:cs="Calibri" w:eastAsia="Calibri" w:hAnsi="Calibri"/>
          <w:color w:val="222222"/>
          <w:sz w:val="21"/>
          <w:szCs w:val="21"/>
        </w:rPr>
        <w:t xml:space="preserve">Le BESS relève aujourd'hui a minima de la rubrique ICPE 2925-2 (déclaration dès 600 kW de puissance de charge), avec des prescriptions (arrêté du 29 mai 2000) conçues pour le plomb et mal adaptées au lithium. </w:t>
      </w:r>
      <w:r>
        <w:rPr>
          <w:rFonts w:ascii="Calibri" w:cs="Calibri" w:eastAsia="Calibri" w:hAnsi="Calibri"/>
          <w:b/>
          <w:bCs/>
          <w:color w:val="222222"/>
          <w:sz w:val="21"/>
          <w:szCs w:val="21"/>
        </w:rPr>
        <w:t xml:space="preserve">Point critique : il n'existe à ce jour ni seuil national en MWh ni distances de sécurité nationales opposables</w:t>
      </w:r>
      <w:r>
        <w:rPr>
          <w:rFonts w:ascii="Calibri" w:cs="Calibri" w:eastAsia="Calibri" w:hAnsi="Calibri"/>
          <w:color w:val="222222"/>
          <w:sz w:val="21"/>
          <w:szCs w:val="21"/>
        </w:rPr>
        <w:t xml:space="preserve"> ; le classement et les prescriptions réels dépendent de la DREAL et de l'arrêté préfectoral locaux. Un texte national dédié est attendu (2026-2027). L'application doit donc intégrer une variable « préfecture/DREAL » et être mise à jour dès sa parution.</w:t>
      </w:r>
    </w:p>
    <w:p>
      <w:r>
        <w:br w:type="page"/>
      </w:r>
    </w:p>
    <w:p>
      <w:pPr>
        <w:pStyle w:val="Heading1"/>
        <w:spacing w:after="140" w:before="320"/>
      </w:pPr>
      <w:r>
        <w:rPr>
          <w:rFonts w:ascii="Calibri" w:cs="Calibri" w:eastAsia="Calibri" w:hAnsi="Calibri"/>
          <w:b/>
          <w:bCs/>
          <w:color w:val="1F3864"/>
          <w:sz w:val="30"/>
          <w:szCs w:val="30"/>
        </w:rPr>
        <w:t xml:space="preserve">7. Focus méthanisation</w:t>
      </w:r>
    </w:p>
    <w:p>
      <w:pPr>
        <w:spacing w:after="120" w:line="276"/>
        <w:jc w:val="both"/>
      </w:pPr>
      <w:r>
        <w:rPr>
          <w:rFonts w:ascii="Calibri" w:cs="Calibri" w:eastAsia="Calibri" w:hAnsi="Calibri"/>
          <w:color w:val="222222"/>
          <w:sz w:val="21"/>
          <w:szCs w:val="21"/>
        </w:rPr>
        <w:t xml:space="preserve">La méthanisation (production de biogaz, valorisé par injection de biométhane au réseau ou par cogénération) a une logique d'implantation double : c'est à la fois une </w:t>
      </w:r>
      <w:r>
        <w:rPr>
          <w:rFonts w:ascii="Calibri" w:cs="Calibri" w:eastAsia="Calibri" w:hAnsi="Calibri"/>
          <w:b/>
          <w:bCs/>
          <w:color w:val="222222"/>
          <w:sz w:val="21"/>
          <w:szCs w:val="21"/>
        </w:rPr>
        <w:t xml:space="preserve">installation classée</w:t>
      </w:r>
      <w:r>
        <w:rPr>
          <w:rFonts w:ascii="Calibri" w:cs="Calibri" w:eastAsia="Calibri" w:hAnsi="Calibri"/>
          <w:color w:val="222222"/>
          <w:sz w:val="21"/>
          <w:szCs w:val="21"/>
        </w:rPr>
        <w:t xml:space="preserve"> (rubrique ICPE 2781) et un </w:t>
      </w:r>
      <w:r>
        <w:rPr>
          <w:rFonts w:ascii="Calibri" w:cs="Calibri" w:eastAsia="Calibri" w:hAnsi="Calibri"/>
          <w:b/>
          <w:bCs/>
          <w:color w:val="222222"/>
          <w:sz w:val="21"/>
          <w:szCs w:val="21"/>
        </w:rPr>
        <w:t xml:space="preserve">projet agricole et logistique</w:t>
      </w:r>
      <w:r>
        <w:rPr>
          <w:rFonts w:ascii="Calibri" w:cs="Calibri" w:eastAsia="Calibri" w:hAnsi="Calibri"/>
          <w:color w:val="222222"/>
          <w:sz w:val="21"/>
          <w:szCs w:val="21"/>
        </w:rPr>
        <w:t xml:space="preserve">, dont la viabilité dépend d'un gisement d'intrants et d'un débouché pour le digestat. La feuille « Méthanisation » du classeur détaille 54 contraintes.</w:t>
      </w:r>
    </w:p>
    <w:p>
      <w:pPr>
        <w:pStyle w:val="Heading2"/>
        <w:spacing w:after="100" w:before="240"/>
      </w:pPr>
      <w:r>
        <w:rPr>
          <w:rFonts w:ascii="Calibri" w:cs="Calibri" w:eastAsia="Calibri" w:hAnsi="Calibri"/>
          <w:b/>
          <w:bCs/>
          <w:color w:val="2E5496"/>
          <w:sz w:val="25"/>
          <w:szCs w:val="25"/>
        </w:rPr>
        <w:t xml:space="preserve">7.1 Corrections apportées à la fiche de départ</w:t>
      </w:r>
    </w:p>
    <w:p>
      <w:pPr>
        <w:spacing w:after="120" w:line="276"/>
        <w:jc w:val="both"/>
      </w:pPr>
      <w:r>
        <w:rPr>
          <w:rFonts w:ascii="Calibri" w:cs="Calibri" w:eastAsia="Calibri" w:hAnsi="Calibri"/>
          <w:color w:val="222222"/>
          <w:sz w:val="21"/>
          <w:szCs w:val="21"/>
        </w:rPr>
        <w:t xml:space="preserve">La liste de contraintes initialement transmise contenait plusieurs imprécisions, corrigées dans le classeur et signalées ici en toute transparence :</w:t>
      </w:r>
    </w:p>
    <w:p>
      <w:pPr>
        <w:pStyle w:val="ListParagraph"/>
        <w:numPr>
          <w:ilvl w:val="0"/>
          <w:numId w:val="2"/>
        </w:numPr>
        <w:spacing w:after="70" w:line="270"/>
      </w:pPr>
      <w:r>
        <w:rPr>
          <w:rFonts w:ascii="Calibri" w:cs="Calibri" w:eastAsia="Calibri" w:hAnsi="Calibri"/>
          <w:b/>
          <w:bCs/>
          <w:color w:val="222222"/>
          <w:sz w:val="21"/>
          <w:szCs w:val="21"/>
        </w:rPr>
        <w:t xml:space="preserve">« Hors zone agricole (A au PLU) » est inexact pour la méthanisation agricole.</w:t>
      </w:r>
      <w:r>
        <w:rPr>
          <w:rFonts w:ascii="Calibri" w:cs="Calibri" w:eastAsia="Calibri" w:hAnsi="Calibri"/>
          <w:color w:val="222222"/>
          <w:sz w:val="21"/>
          <w:szCs w:val="21"/>
        </w:rPr>
        <w:t xml:space="preserve"> Depuis la loi APER, une unité portée par un agriculteur et alimentée majoritairement par des matières d'exploitations agricoles est au contraire autorisée en zone A (et N) comme installation nécessaire à l'activité agricole (art. L.151-11 C. urb.). La zone A est donc favorable. Seules les unités « industrielles » (majorité de déchets externes) exigent une zone U/AU/économique.</w:t>
      </w:r>
    </w:p>
    <w:p>
      <w:pPr>
        <w:pStyle w:val="ListParagraph"/>
        <w:numPr>
          <w:ilvl w:val="0"/>
          <w:numId w:val="2"/>
        </w:numPr>
        <w:spacing w:after="70" w:line="270"/>
      </w:pPr>
      <w:r>
        <w:rPr>
          <w:rFonts w:ascii="Calibri" w:cs="Calibri" w:eastAsia="Calibri" w:hAnsi="Calibri"/>
          <w:b/>
          <w:bCs/>
          <w:color w:val="222222"/>
          <w:sz w:val="21"/>
          <w:szCs w:val="21"/>
        </w:rPr>
        <w:t xml:space="preserve">« Distance habitations &gt; 400 m » n'est pas le seuil réglementaire.</w:t>
      </w:r>
      <w:r>
        <w:rPr>
          <w:rFonts w:ascii="Calibri" w:cs="Calibri" w:eastAsia="Calibri" w:hAnsi="Calibri"/>
          <w:color w:val="222222"/>
          <w:sz w:val="21"/>
          <w:szCs w:val="21"/>
        </w:rPr>
        <w:t xml:space="preserve"> Le seuil ICPE est de 100 m (déclaration) ou 200 m (enregistrement/autorisation). Les 400 m sont une marge d'acceptabilité (odeurs, bruit, trafic) : pertinente comme critère pénalisant de confort, à distinguer du rédhibitoire réglementaire.</w:t>
      </w:r>
    </w:p>
    <w:p>
      <w:pPr>
        <w:pStyle w:val="ListParagraph"/>
        <w:numPr>
          <w:ilvl w:val="0"/>
          <w:numId w:val="2"/>
        </w:numPr>
        <w:spacing w:after="70" w:line="270"/>
      </w:pPr>
      <w:r>
        <w:rPr>
          <w:rFonts w:ascii="Calibri" w:cs="Calibri" w:eastAsia="Calibri" w:hAnsi="Calibri"/>
          <w:b/>
          <w:bCs/>
          <w:color w:val="222222"/>
          <w:sz w:val="21"/>
          <w:szCs w:val="21"/>
        </w:rPr>
        <w:t xml:space="preserve">« Distance cours d'eau &gt; 30 m » : le seuil exact est 35 m</w:t>
      </w:r>
      <w:r>
        <w:rPr>
          <w:rFonts w:ascii="Calibri" w:cs="Calibri" w:eastAsia="Calibri" w:hAnsi="Calibri"/>
          <w:color w:val="222222"/>
          <w:sz w:val="21"/>
          <w:szCs w:val="21"/>
        </w:rPr>
        <w:t xml:space="preserve"> pour l'implantation des équipements ; les distances d'épandage du digestat sont différentes (5 à 100 m selon la pente).</w:t>
      </w:r>
    </w:p>
    <w:p>
      <w:pPr>
        <w:pStyle w:val="ListParagraph"/>
        <w:numPr>
          <w:ilvl w:val="0"/>
          <w:numId w:val="2"/>
        </w:numPr>
        <w:spacing w:after="70" w:line="270"/>
      </w:pPr>
      <w:r>
        <w:rPr>
          <w:rFonts w:ascii="Calibri" w:cs="Calibri" w:eastAsia="Calibri" w:hAnsi="Calibri"/>
          <w:b/>
          <w:bCs/>
          <w:color w:val="222222"/>
          <w:sz w:val="21"/>
          <w:szCs w:val="21"/>
        </w:rPr>
        <w:t xml:space="preserve">« Superficie &gt; 4 ha » n'est pas un seuil réglementaire</w:t>
      </w:r>
      <w:r>
        <w:rPr>
          <w:rFonts w:ascii="Calibri" w:cs="Calibri" w:eastAsia="Calibri" w:hAnsi="Calibri"/>
          <w:color w:val="222222"/>
          <w:sz w:val="21"/>
          <w:szCs w:val="21"/>
        </w:rPr>
        <w:t xml:space="preserve"> : 2 à 5 ha suffisent selon le gabarit. À traiter comme critère favorable modulable, non comme rédhibitoire.</w:t>
      </w:r>
    </w:p>
    <w:p>
      <w:pPr>
        <w:pStyle w:val="Heading2"/>
        <w:spacing w:after="100" w:before="240"/>
      </w:pPr>
      <w:r>
        <w:rPr>
          <w:rFonts w:ascii="Calibri" w:cs="Calibri" w:eastAsia="Calibri" w:hAnsi="Calibri"/>
          <w:b/>
          <w:bCs/>
          <w:color w:val="2E5496"/>
          <w:sz w:val="25"/>
          <w:szCs w:val="25"/>
        </w:rPr>
        <w:t xml:space="preserve">7.2 Les filtres décisifs</w:t>
      </w:r>
    </w:p>
    <w:p>
      <w:pPr>
        <w:pStyle w:val="ListParagraph"/>
        <w:numPr>
          <w:ilvl w:val="0"/>
          <w:numId w:val="2"/>
        </w:numPr>
        <w:spacing w:after="70" w:line="270"/>
      </w:pPr>
      <w:r>
        <w:rPr>
          <w:rFonts w:ascii="Calibri" w:cs="Calibri" w:eastAsia="Calibri" w:hAnsi="Calibri"/>
          <w:b/>
          <w:bCs/>
          <w:color w:val="222222"/>
          <w:sz w:val="21"/>
          <w:szCs w:val="21"/>
        </w:rPr>
        <w:t xml:space="preserve">Débouché de valorisation — le critère de tête.</w:t>
      </w:r>
      <w:r>
        <w:rPr>
          <w:rFonts w:ascii="Calibri" w:cs="Calibri" w:eastAsia="Calibri" w:hAnsi="Calibri"/>
          <w:color w:val="222222"/>
          <w:sz w:val="21"/>
          <w:szCs w:val="21"/>
        </w:rPr>
        <w:t xml:space="preserve"> En injection, il faut un réseau gaz injectable à distance économique (la limite réelle est le coût d'extension, avec une réfaction de 60 %) et de la capacité d'injection disponible (le réseau peut être saturé l'été, d'où le recours au rebours). La couche « réseau gaz + zonage d'injection GRDF/NATRAN » est à croiser en premier. La suppression du tarif d'achat cogénération (2025) rend l'injection quasi incontournable pour les nouveaux projets.</w:t>
      </w:r>
    </w:p>
    <w:p>
      <w:pPr>
        <w:pStyle w:val="ListParagraph"/>
        <w:numPr>
          <w:ilvl w:val="0"/>
          <w:numId w:val="2"/>
        </w:numPr>
        <w:spacing w:after="70" w:line="270"/>
      </w:pPr>
      <w:r>
        <w:rPr>
          <w:rFonts w:ascii="Calibri" w:cs="Calibri" w:eastAsia="Calibri" w:hAnsi="Calibri"/>
          <w:b/>
          <w:bCs/>
          <w:color w:val="222222"/>
          <w:sz w:val="21"/>
          <w:szCs w:val="21"/>
        </w:rPr>
        <w:t xml:space="preserve">Gisement d'intrants.</w:t>
      </w:r>
      <w:r>
        <w:rPr>
          <w:rFonts w:ascii="Calibri" w:cs="Calibri" w:eastAsia="Calibri" w:hAnsi="Calibri"/>
          <w:color w:val="222222"/>
          <w:sz w:val="21"/>
          <w:szCs w:val="21"/>
        </w:rPr>
        <w:t xml:space="preserve"> Volume suffisant d'effluents d'élevage, CIVE et biodéchets dans un rayon économique (souvent moins de 20-25 km), sans être déjà capté par une autre unité. À modéliser via le RPG, les cheptels Agreste et le gisement de biodéchets (SINOE).</w:t>
      </w:r>
    </w:p>
    <w:p>
      <w:pPr>
        <w:pStyle w:val="ListParagraph"/>
        <w:numPr>
          <w:ilvl w:val="0"/>
          <w:numId w:val="2"/>
        </w:numPr>
        <w:spacing w:after="70" w:line="270"/>
      </w:pPr>
      <w:r>
        <w:rPr>
          <w:rFonts w:ascii="Calibri" w:cs="Calibri" w:eastAsia="Calibri" w:hAnsi="Calibri"/>
          <w:b/>
          <w:bCs/>
          <w:color w:val="222222"/>
          <w:sz w:val="21"/>
          <w:szCs w:val="21"/>
        </w:rPr>
        <w:t xml:space="preserve">Débouché du digestat.</w:t>
      </w:r>
      <w:r>
        <w:rPr>
          <w:rFonts w:ascii="Calibri" w:cs="Calibri" w:eastAsia="Calibri" w:hAnsi="Calibri"/>
          <w:color w:val="222222"/>
          <w:sz w:val="21"/>
          <w:szCs w:val="21"/>
        </w:rPr>
        <w:t xml:space="preserve"> Un plan d'épandage avec des surfaces suffisantes (ou une normalisation NFU 44-051 du digestat) est indispensable ; sans débouché, le projet est bloqué.</w:t>
      </w:r>
    </w:p>
    <w:p>
      <w:pPr>
        <w:pStyle w:val="ListParagraph"/>
        <w:numPr>
          <w:ilvl w:val="0"/>
          <w:numId w:val="2"/>
        </w:numPr>
        <w:spacing w:after="70" w:line="270"/>
      </w:pPr>
      <w:r>
        <w:rPr>
          <w:rFonts w:ascii="Calibri" w:cs="Calibri" w:eastAsia="Calibri" w:hAnsi="Calibri"/>
          <w:b/>
          <w:bCs/>
          <w:color w:val="222222"/>
          <w:sz w:val="21"/>
          <w:szCs w:val="21"/>
        </w:rPr>
        <w:t xml:space="preserve">Distances de sécurité et sensibilité ICPE.</w:t>
      </w:r>
      <w:r>
        <w:rPr>
          <w:rFonts w:ascii="Calibri" w:cs="Calibri" w:eastAsia="Calibri" w:hAnsi="Calibri"/>
          <w:color w:val="222222"/>
          <w:sz w:val="21"/>
          <w:szCs w:val="21"/>
        </w:rPr>
        <w:t xml:space="preserve"> 100/200 m des tiers, 35 m des cours d'eau et captages, interdiction en périmètre rapproché de captage AEP ; au-delà de 10 t de biogaz stocké, bascule possible en SEVESO. Le terrain doit être plat et non inondable (zone rouge de PPRi rédhibitoire).</w:t>
      </w:r>
    </w:p>
    <w:p>
      <w:pPr>
        <w:pStyle w:val="Heading2"/>
        <w:spacing w:after="100" w:before="240"/>
      </w:pPr>
      <w:r>
        <w:rPr>
          <w:rFonts w:ascii="Calibri" w:cs="Calibri" w:eastAsia="Calibri" w:hAnsi="Calibri"/>
          <w:b/>
          <w:bCs/>
          <w:color w:val="2E5496"/>
          <w:sz w:val="25"/>
          <w:szCs w:val="25"/>
        </w:rPr>
        <w:t xml:space="preserve">7.3 Le plafond de cultures et l'acceptabilité</w:t>
      </w:r>
    </w:p>
    <w:p>
      <w:pPr>
        <w:spacing w:after="120" w:line="276"/>
        <w:jc w:val="both"/>
      </w:pPr>
      <w:r>
        <w:rPr>
          <w:rFonts w:ascii="Calibri" w:cs="Calibri" w:eastAsia="Calibri" w:hAnsi="Calibri"/>
          <w:color w:val="222222"/>
          <w:sz w:val="21"/>
          <w:szCs w:val="21"/>
        </w:rPr>
        <w:t xml:space="preserve">Deux points spécifiques à intégrer : le </w:t>
      </w:r>
      <w:r>
        <w:rPr>
          <w:rFonts w:ascii="Calibri" w:cs="Calibri" w:eastAsia="Calibri" w:hAnsi="Calibri"/>
          <w:b/>
          <w:bCs/>
          <w:color w:val="222222"/>
          <w:sz w:val="21"/>
          <w:szCs w:val="21"/>
        </w:rPr>
        <w:t xml:space="preserve">plafond de 15 %</w:t>
      </w:r>
      <w:r>
        <w:rPr>
          <w:rFonts w:ascii="Calibri" w:cs="Calibri" w:eastAsia="Calibri" w:hAnsi="Calibri"/>
          <w:color w:val="222222"/>
          <w:sz w:val="21"/>
          <w:szCs w:val="21"/>
        </w:rPr>
        <w:t xml:space="preserve"> de cultures alimentaires ou énergétiques principales dans les intrants (décret de 2016), qui oriente le sourcing vers les CIVE et les effluents ; et l'</w:t>
      </w:r>
      <w:r>
        <w:rPr>
          <w:rFonts w:ascii="Calibri" w:cs="Calibri" w:eastAsia="Calibri" w:hAnsi="Calibri"/>
          <w:b/>
          <w:bCs/>
          <w:color w:val="222222"/>
          <w:sz w:val="21"/>
          <w:szCs w:val="21"/>
        </w:rPr>
        <w:t xml:space="preserve">acceptabilité sociale</w:t>
      </w:r>
      <w:r>
        <w:rPr>
          <w:rFonts w:ascii="Calibri" w:cs="Calibri" w:eastAsia="Calibri" w:hAnsi="Calibri"/>
          <w:color w:val="222222"/>
          <w:sz w:val="21"/>
          <w:szCs w:val="21"/>
        </w:rPr>
        <w:t xml:space="preserve">, particulièrement sensible pour cette filière (odeurs, rotations de camions), qui justifie de viser 300 à 500 m des habitations au-delà du minimum réglementaire.</w:t>
      </w:r>
    </w:p>
    <w:p>
      <w:r>
        <w:br w:type="page"/>
      </w:r>
    </w:p>
    <w:p>
      <w:pPr>
        <w:pStyle w:val="Heading1"/>
        <w:spacing w:after="140" w:before="320"/>
      </w:pPr>
      <w:r>
        <w:rPr>
          <w:rFonts w:ascii="Calibri" w:cs="Calibri" w:eastAsia="Calibri" w:hAnsi="Calibri"/>
          <w:b/>
          <w:bCs/>
          <w:color w:val="1F3864"/>
          <w:sz w:val="30"/>
          <w:szCs w:val="30"/>
        </w:rPr>
        <w:t xml:space="preserve">8. Points de fraîcheur réglementaire 2024-2026</w:t>
      </w:r>
    </w:p>
    <w:tbl>
      <w:tblPr>
        <w:tblW w:type="dxa" w:w="9000"/>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5600"/>
      </w:tblGrid>
      <w:tr>
        <w:trPr>
          <w:tblHeader/>
        </w:trPr>
        <w:tc>
          <w:tcPr>
            <w:tcW w:type="dxa" w:w="3400"/>
            <w:shd w:fill="2E5496" w:color="auto" w:val="clear"/>
            <w:tcMar>
              <w:top w:type="dxa" w:w="40"/>
              <w:left w:type="dxa" w:w="80"/>
              <w:bottom w:type="dxa" w:w="40"/>
              <w:right w:type="dxa" w:w="80"/>
            </w:tcMar>
          </w:tcPr>
          <w:p>
            <w:r>
              <w:rPr>
                <w:rFonts w:ascii="Calibri" w:cs="Calibri" w:eastAsia="Calibri" w:hAnsi="Calibri"/>
                <w:b/>
                <w:bCs/>
                <w:color w:val="FFFFFF"/>
                <w:sz w:val="19"/>
                <w:szCs w:val="19"/>
              </w:rPr>
              <w:t xml:space="preserve">Texte / évolution</w:t>
            </w:r>
          </w:p>
        </w:tc>
        <w:tc>
          <w:tcPr>
            <w:tcW w:type="dxa" w:w="5600"/>
            <w:shd w:fill="2E5496" w:color="auto" w:val="clear"/>
            <w:tcMar>
              <w:top w:type="dxa" w:w="40"/>
              <w:left w:type="dxa" w:w="80"/>
              <w:bottom w:type="dxa" w:w="40"/>
              <w:right w:type="dxa" w:w="80"/>
            </w:tcMar>
          </w:tcPr>
          <w:p>
            <w:r>
              <w:rPr>
                <w:rFonts w:ascii="Calibri" w:cs="Calibri" w:eastAsia="Calibri" w:hAnsi="Calibri"/>
                <w:b/>
                <w:bCs/>
                <w:color w:val="FFFFFF"/>
                <w:sz w:val="19"/>
                <w:szCs w:val="19"/>
              </w:rPr>
              <w:t xml:space="preserve">Portée</w:t>
            </w:r>
          </w:p>
        </w:tc>
      </w:tr>
      <w:tr>
        <w:tc>
          <w:tcPr>
            <w:tcW w:type="dxa" w:w="34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Loi APER (10 mars 2023)</w:t>
            </w:r>
          </w:p>
        </w:tc>
        <w:tc>
          <w:tcPr>
            <w:tcW w:type="dxa" w:w="5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Zones d'accélération EnR, cadre agrivoltaïsme, dérogations loi Littoral sur friches listées, RIIPM pour le stockage</w:t>
            </w:r>
          </w:p>
        </w:tc>
      </w:tr>
      <w:tr>
        <w:tc>
          <w:tcPr>
            <w:tcW w:type="dxa" w:w="34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Décret 2023-1408 + arrêté 29/12/2023</w:t>
            </w:r>
          </w:p>
        </w:tc>
        <w:tc>
          <w:tcPr>
            <w:tcW w:type="dxa" w:w="56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PV au sol non comptabilisé en artificialisation (ZAN) sous conditions techniques</w:t>
            </w:r>
          </w:p>
        </w:tc>
      </w:tr>
      <w:tr>
        <w:tc>
          <w:tcPr>
            <w:tcW w:type="dxa" w:w="34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Décret 2024-318 + arrêté 05/07/2024</w:t>
            </w:r>
          </w:p>
        </w:tc>
        <w:tc>
          <w:tcPr>
            <w:tcW w:type="dxa" w:w="5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Cadre complet de l'agrivoltaïsme et du PV au sol sur terres agricoles (document-cadre, CDPENAF)</w:t>
            </w:r>
          </w:p>
        </w:tc>
      </w:tr>
      <w:tr>
        <w:tc>
          <w:tcPr>
            <w:tcW w:type="dxa" w:w="34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Instruction DGPE du 18/02/2025</w:t>
            </w:r>
          </w:p>
        </w:tc>
        <w:tc>
          <w:tcPr>
            <w:tcW w:type="dxa" w:w="56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Précisions d'application agrivoltaïsme (taux de couverture, CDPENAF)</w:t>
            </w:r>
          </w:p>
        </w:tc>
      </w:tr>
      <w:tr>
        <w:tc>
          <w:tcPr>
            <w:tcW w:type="dxa" w:w="34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Décret 2026-146 (02/03/2026)</w:t>
            </w:r>
          </w:p>
        </w:tc>
        <w:tc>
          <w:tcPr>
            <w:tcW w:type="dxa" w:w="5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Simplification de l'évaluation environnementale pour les postes ≥ 63 kV (allège les BESS raccordés HTB)</w:t>
            </w:r>
          </w:p>
        </w:tc>
      </w:tr>
      <w:tr>
        <w:tc>
          <w:tcPr>
            <w:tcW w:type="dxa" w:w="34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Décret 2026-674 (27/07/2026)</w:t>
            </w:r>
          </w:p>
        </w:tc>
        <w:tc>
          <w:tcPr>
            <w:tcW w:type="dxa" w:w="56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Seuil d'étude d'impact PV relevé de 1 à 3 MWc ; dispense de PC relevée pour certaines installations &lt; 3 MWc</w:t>
            </w:r>
          </w:p>
        </w:tc>
      </w:tr>
      <w:tr>
        <w:tc>
          <w:tcPr>
            <w:tcW w:type="dxa" w:w="34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Projet rubrique ICPE 2926 + texte BESS</w:t>
            </w:r>
          </w:p>
        </w:tc>
        <w:tc>
          <w:tcPr>
            <w:tcW w:type="dxa" w:w="5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Attendu 2026-2027 : introduira un cadre et des distances dédiés au stockage (à surveiller)</w:t>
            </w:r>
          </w:p>
        </w:tc>
      </w:tr>
      <w:tr>
        <w:tc>
          <w:tcPr>
            <w:tcW w:type="dxa" w:w="34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Arrêtés ICPE 2781 (mod. 17/06/2021)</w:t>
            </w:r>
          </w:p>
        </w:tc>
        <w:tc>
          <w:tcPr>
            <w:tcW w:type="dxa" w:w="5600"/>
            <w:shd w:fill="F2F2F2" w:color="auto" w:val="clear"/>
            <w:tcMar>
              <w:top w:type="dxa" w:w="40"/>
              <w:left w:type="dxa" w:w="80"/>
              <w:bottom w:type="dxa" w:w="40"/>
              <w:right w:type="dxa" w:w="80"/>
            </w:tcMar>
          </w:tcPr>
          <w:p>
            <w:r>
              <w:rPr>
                <w:rFonts w:ascii="Calibri" w:cs="Calibri" w:eastAsia="Calibri" w:hAnsi="Calibri"/>
                <w:color w:val="222222"/>
                <w:sz w:val="18"/>
                <w:szCs w:val="18"/>
              </w:rPr>
              <w:t xml:space="preserve">Cadre technique de la méthanisation (distances, sécurité, odeurs) — stable, pas de refonte en 2026</w:t>
            </w:r>
          </w:p>
        </w:tc>
      </w:tr>
      <w:tr>
        <w:tc>
          <w:tcPr>
            <w:tcW w:type="dxa" w:w="34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Fin du tarif d'achat cogénération biogaz (arrêté 08/09/2025)</w:t>
            </w:r>
          </w:p>
        </w:tc>
        <w:tc>
          <w:tcPr>
            <w:tcW w:type="dxa" w:w="5600"/>
            <w:shd w:fill="FFFFFF" w:color="auto" w:val="clear"/>
            <w:tcMar>
              <w:top w:type="dxa" w:w="40"/>
              <w:left w:type="dxa" w:w="80"/>
              <w:bottom w:type="dxa" w:w="40"/>
              <w:right w:type="dxa" w:w="80"/>
            </w:tcMar>
          </w:tcPr>
          <w:p>
            <w:r>
              <w:rPr>
                <w:rFonts w:ascii="Calibri" w:cs="Calibri" w:eastAsia="Calibri" w:hAnsi="Calibri"/>
                <w:color w:val="222222"/>
                <w:sz w:val="18"/>
                <w:szCs w:val="18"/>
              </w:rPr>
              <w:t xml:space="preserve">Oriente fortement les nouveaux projets de méthanisation vers l'injection biométhane</w:t>
            </w:r>
          </w:p>
        </w:tc>
      </w:tr>
    </w:tbl>
    <w:p>
      <w:pPr>
        <w:spacing w:after="60"/>
      </w:pPr>
      <w:r>
        <w:rPr>
          <w:rFonts w:ascii="Calibri" w:cs="Calibri" w:eastAsia="Calibri" w:hAnsi="Calibri"/>
          <w:color w:val="222222"/>
          <w:sz w:val="21"/>
          <w:szCs w:val="21"/>
        </w:rPr>
        <w:t xml:space="preserve"/>
      </w:r>
    </w:p>
    <w:p>
      <w:pPr>
        <w:pStyle w:val="Heading1"/>
        <w:spacing w:after="140" w:before="320"/>
      </w:pPr>
      <w:r>
        <w:rPr>
          <w:rFonts w:ascii="Calibri" w:cs="Calibri" w:eastAsia="Calibri" w:hAnsi="Calibri"/>
          <w:b/>
          <w:bCs/>
          <w:color w:val="1F3864"/>
          <w:sz w:val="30"/>
          <w:szCs w:val="30"/>
        </w:rPr>
        <w:t xml:space="preserve">9. Priorisation pour la construction de l'application</w:t>
      </w:r>
    </w:p>
    <w:p>
      <w:pPr>
        <w:spacing w:after="120" w:line="276"/>
        <w:jc w:val="both"/>
      </w:pPr>
      <w:r>
        <w:rPr>
          <w:rFonts w:ascii="Calibri" w:cs="Calibri" w:eastAsia="Calibri" w:hAnsi="Calibri"/>
          <w:color w:val="222222"/>
          <w:sz w:val="21"/>
          <w:szCs w:val="21"/>
        </w:rPr>
        <w:t xml:space="preserve">Trois recommandations pratiques pour bâtir une application fiable et rapidement exploitable.</w:t>
      </w:r>
    </w:p>
    <w:p>
      <w:pPr>
        <w:pStyle w:val="Heading2"/>
        <w:spacing w:after="100" w:before="240"/>
      </w:pPr>
      <w:r>
        <w:rPr>
          <w:rFonts w:ascii="Calibri" w:cs="Calibri" w:eastAsia="Calibri" w:hAnsi="Calibri"/>
          <w:b/>
          <w:bCs/>
          <w:color w:val="2E5496"/>
          <w:sz w:val="25"/>
          <w:szCs w:val="25"/>
        </w:rPr>
        <w:t xml:space="preserve">9.1 Ordonner les filtres du plus discriminant au plus fin</w:t>
      </w:r>
    </w:p>
    <w:p>
      <w:pPr>
        <w:spacing w:after="120" w:line="276"/>
        <w:jc w:val="both"/>
      </w:pPr>
      <w:r>
        <w:rPr>
          <w:rFonts w:ascii="Calibri" w:cs="Calibri" w:eastAsia="Calibri" w:hAnsi="Calibri"/>
          <w:color w:val="222222"/>
          <w:sz w:val="21"/>
          <w:szCs w:val="21"/>
        </w:rPr>
        <w:t xml:space="preserve">Un moteur d'éligibilité efficace applique d'abord les filtres rédhibitoires disponibles en open data national (élimination rapide), puis les pénalisants dimensionnants (buffers), et réserve les critères projet à la phase de qualification manuelle. À titre d'exemple, pour le BESS : raccordement (Caparéseau) → zonage (GPU) → risques stricts (Géorisques/INPN) → distances de sécurité (buffers BD TOPO/BD Forêt) → foncier et sécurité incendie (qualification).</w:t>
      </w:r>
    </w:p>
    <w:p>
      <w:pPr>
        <w:pStyle w:val="Heading2"/>
        <w:spacing w:after="100" w:before="240"/>
      </w:pPr>
      <w:r>
        <w:rPr>
          <w:rFonts w:ascii="Calibri" w:cs="Calibri" w:eastAsia="Calibri" w:hAnsi="Calibri"/>
          <w:b/>
          <w:bCs/>
          <w:color w:val="2E5496"/>
          <w:sz w:val="25"/>
          <w:szCs w:val="25"/>
        </w:rPr>
        <w:t xml:space="preserve">9.2 Intégrer d'abord les huit socles open data</w:t>
      </w:r>
    </w:p>
    <w:p>
      <w:pPr>
        <w:spacing w:after="120" w:line="276"/>
        <w:jc w:val="both"/>
      </w:pPr>
      <w:r>
        <w:rPr>
          <w:rFonts w:ascii="Calibri" w:cs="Calibri" w:eastAsia="Calibri" w:hAnsi="Calibri"/>
          <w:color w:val="222222"/>
          <w:sz w:val="21"/>
          <w:szCs w:val="21"/>
        </w:rPr>
        <w:t xml:space="preserve">Les couches suivantes, homogènes sur tout le territoire, couvrent la majeure partie du besoin : </w:t>
      </w:r>
      <w:r>
        <w:rPr>
          <w:rFonts w:ascii="Calibri" w:cs="Calibri" w:eastAsia="Calibri" w:hAnsi="Calibri"/>
          <w:b/>
          <w:bCs/>
          <w:color w:val="222222"/>
          <w:sz w:val="21"/>
          <w:szCs w:val="21"/>
        </w:rPr>
        <w:t xml:space="preserve">INPN</w:t>
      </w:r>
      <w:r>
        <w:rPr>
          <w:rFonts w:ascii="Calibri" w:cs="Calibri" w:eastAsia="Calibri" w:hAnsi="Calibri"/>
          <w:color w:val="222222"/>
          <w:sz w:val="21"/>
          <w:szCs w:val="21"/>
        </w:rPr>
        <w:t xml:space="preserve"> (biodiversité et espaces protégés), </w:t>
      </w:r>
      <w:r>
        <w:rPr>
          <w:rFonts w:ascii="Calibri" w:cs="Calibri" w:eastAsia="Calibri" w:hAnsi="Calibri"/>
          <w:b/>
          <w:bCs/>
          <w:color w:val="222222"/>
          <w:sz w:val="21"/>
          <w:szCs w:val="21"/>
        </w:rPr>
        <w:t xml:space="preserve">Géorisques</w:t>
      </w:r>
      <w:r>
        <w:rPr>
          <w:rFonts w:ascii="Calibri" w:cs="Calibri" w:eastAsia="Calibri" w:hAnsi="Calibri"/>
          <w:color w:val="222222"/>
          <w:sz w:val="21"/>
          <w:szCs w:val="21"/>
        </w:rPr>
        <w:t xml:space="preserve"> (tous risques, canalisations, sites pollués, SEVESO), </w:t>
      </w:r>
      <w:r>
        <w:rPr>
          <w:rFonts w:ascii="Calibri" w:cs="Calibri" w:eastAsia="Calibri" w:hAnsi="Calibri"/>
          <w:b/>
          <w:bCs/>
          <w:color w:val="222222"/>
          <w:sz w:val="21"/>
          <w:szCs w:val="21"/>
        </w:rPr>
        <w:t xml:space="preserve">Géoportail de l'urbanisme</w:t>
      </w:r>
      <w:r>
        <w:rPr>
          <w:rFonts w:ascii="Calibri" w:cs="Calibri" w:eastAsia="Calibri" w:hAnsi="Calibri"/>
          <w:color w:val="222222"/>
          <w:sz w:val="21"/>
          <w:szCs w:val="21"/>
        </w:rPr>
        <w:t xml:space="preserve"> (zonages et servitudes), </w:t>
      </w:r>
      <w:r>
        <w:rPr>
          <w:rFonts w:ascii="Calibri" w:cs="Calibri" w:eastAsia="Calibri" w:hAnsi="Calibri"/>
          <w:b/>
          <w:bCs/>
          <w:color w:val="222222"/>
          <w:sz w:val="21"/>
          <w:szCs w:val="21"/>
        </w:rPr>
        <w:t xml:space="preserve">IGN</w:t>
      </w:r>
      <w:r>
        <w:rPr>
          <w:rFonts w:ascii="Calibri" w:cs="Calibri" w:eastAsia="Calibri" w:hAnsi="Calibri"/>
          <w:color w:val="222222"/>
          <w:sz w:val="21"/>
          <w:szCs w:val="21"/>
        </w:rPr>
        <w:t xml:space="preserve"> (BD TOPO, BD Forêt, RGE ALTI, OCS GE, RPG), </w:t>
      </w:r>
      <w:r>
        <w:rPr>
          <w:rFonts w:ascii="Calibri" w:cs="Calibri" w:eastAsia="Calibri" w:hAnsi="Calibri"/>
          <w:b/>
          <w:bCs/>
          <w:color w:val="222222"/>
          <w:sz w:val="21"/>
          <w:szCs w:val="21"/>
        </w:rPr>
        <w:t xml:space="preserve">Atlas des patrimoines</w:t>
      </w:r>
      <w:r>
        <w:rPr>
          <w:rFonts w:ascii="Calibri" w:cs="Calibri" w:eastAsia="Calibri" w:hAnsi="Calibri"/>
          <w:color w:val="222222"/>
          <w:sz w:val="21"/>
          <w:szCs w:val="21"/>
        </w:rPr>
        <w:t xml:space="preserve"> (monuments et sites), </w:t>
      </w:r>
      <w:r>
        <w:rPr>
          <w:rFonts w:ascii="Calibri" w:cs="Calibri" w:eastAsia="Calibri" w:hAnsi="Calibri"/>
          <w:b/>
          <w:bCs/>
          <w:color w:val="222222"/>
          <w:sz w:val="21"/>
          <w:szCs w:val="21"/>
        </w:rPr>
        <w:t xml:space="preserve">Caparéseau</w:t>
      </w:r>
      <w:r>
        <w:rPr>
          <w:rFonts w:ascii="Calibri" w:cs="Calibri" w:eastAsia="Calibri" w:hAnsi="Calibri"/>
          <w:color w:val="222222"/>
          <w:sz w:val="21"/>
          <w:szCs w:val="21"/>
        </w:rPr>
        <w:t xml:space="preserve"> (raccordement), </w:t>
      </w:r>
      <w:r>
        <w:rPr>
          <w:rFonts w:ascii="Calibri" w:cs="Calibri" w:eastAsia="Calibri" w:hAnsi="Calibri"/>
          <w:b/>
          <w:bCs/>
          <w:color w:val="222222"/>
          <w:sz w:val="21"/>
          <w:szCs w:val="21"/>
        </w:rPr>
        <w:t xml:space="preserve">ANFR Cartoradio</w:t>
      </w:r>
      <w:r>
        <w:rPr>
          <w:rFonts w:ascii="Calibri" w:cs="Calibri" w:eastAsia="Calibri" w:hAnsi="Calibri"/>
          <w:color w:val="222222"/>
          <w:sz w:val="21"/>
          <w:szCs w:val="21"/>
        </w:rPr>
        <w:t xml:space="preserve"> (radioélectrique) et </w:t>
      </w:r>
      <w:r>
        <w:rPr>
          <w:rFonts w:ascii="Calibri" w:cs="Calibri" w:eastAsia="Calibri" w:hAnsi="Calibri"/>
          <w:b/>
          <w:bCs/>
          <w:color w:val="222222"/>
          <w:sz w:val="21"/>
          <w:szCs w:val="21"/>
        </w:rPr>
        <w:t xml:space="preserve">Cartofriches</w:t>
      </w:r>
      <w:r>
        <w:rPr>
          <w:rFonts w:ascii="Calibri" w:cs="Calibri" w:eastAsia="Calibri" w:hAnsi="Calibri"/>
          <w:color w:val="222222"/>
          <w:sz w:val="21"/>
          <w:szCs w:val="21"/>
        </w:rPr>
        <w:t xml:space="preserve"> (terrains dégradés). Le détail figure dans la feuille « Catalogue couches SIG ».</w:t>
      </w:r>
    </w:p>
    <w:p>
      <w:pPr>
        <w:pStyle w:val="Heading2"/>
        <w:spacing w:after="100" w:before="240"/>
      </w:pPr>
      <w:r>
        <w:rPr>
          <w:rFonts w:ascii="Calibri" w:cs="Calibri" w:eastAsia="Calibri" w:hAnsi="Calibri"/>
          <w:b/>
          <w:bCs/>
          <w:color w:val="2E5496"/>
          <w:sz w:val="25"/>
          <w:szCs w:val="25"/>
        </w:rPr>
        <w:t xml:space="preserve">9.3 Prévoir les surcouches locales et les données à créer</w:t>
      </w:r>
    </w:p>
    <w:p>
      <w:pPr>
        <w:spacing w:after="120" w:line="276"/>
        <w:jc w:val="both"/>
      </w:pPr>
      <w:r>
        <w:rPr>
          <w:rFonts w:ascii="Calibri" w:cs="Calibri" w:eastAsia="Calibri" w:hAnsi="Calibri"/>
          <w:color w:val="222222"/>
          <w:sz w:val="21"/>
          <w:szCs w:val="21"/>
        </w:rPr>
        <w:t xml:space="preserve">La qualité de l'application dépendra de sa capacité à intégrer les données non nationales : documents-cadres CDPENAF et doctrines DDT par département, zones d'exclusion communales, positions de radars (par consultation), et analyses à modéliser (covisibilité/viewshed, saturation visuelle, buffers dynamiques éolien). Ces éléments sont signalés « départemental/régional » ou « à créer » dans le classeur.</w:t>
      </w:r>
    </w:p>
    <w:p>
      <w:pPr>
        <w:pStyle w:val="Heading1"/>
        <w:spacing w:after="140" w:before="320"/>
      </w:pPr>
      <w:r>
        <w:rPr>
          <w:rFonts w:ascii="Calibri" w:cs="Calibri" w:eastAsia="Calibri" w:hAnsi="Calibri"/>
          <w:b/>
          <w:bCs/>
          <w:color w:val="1F3864"/>
          <w:sz w:val="30"/>
          <w:szCs w:val="30"/>
        </w:rPr>
        <w:t xml:space="preserve">10. Limites et mises à jour</w:t>
      </w:r>
    </w:p>
    <w:p>
      <w:pPr>
        <w:spacing w:after="120" w:line="276"/>
        <w:jc w:val="both"/>
      </w:pPr>
      <w:r>
        <w:rPr>
          <w:rFonts w:ascii="Calibri" w:cs="Calibri" w:eastAsia="Calibri" w:hAnsi="Calibri"/>
          <w:color w:val="222222"/>
          <w:sz w:val="21"/>
          <w:szCs w:val="21"/>
        </w:rPr>
        <w:t xml:space="preserve">Cette synthèse vise l'exhaustivité mais reste un support d'aide à la décision, non un avis juridique. Trois réserves méritent d'être gardées à l'esprit : les seuils marqués « variable » ou « départemental » doivent impérativement être paramétrés par territoire ; certains référentiels (technologies éprouvées de l'agrivoltaïsme, texte national BESS) ne sont pas encore publiés ; et l'appréciation finale relève d'avis (ABF, CDPENAF, DREAL) qui ne se réduisent pas à un filtre automatique. Il est recommandé de </w:t>
      </w:r>
      <w:r>
        <w:rPr>
          <w:rFonts w:ascii="Calibri" w:cs="Calibri" w:eastAsia="Calibri" w:hAnsi="Calibri"/>
          <w:b/>
          <w:bCs/>
          <w:color w:val="222222"/>
          <w:sz w:val="21"/>
          <w:szCs w:val="21"/>
        </w:rPr>
        <w:t xml:space="preserve">réviser ce document au moins une fois par an</w:t>
      </w:r>
      <w:r>
        <w:rPr>
          <w:rFonts w:ascii="Calibri" w:cs="Calibri" w:eastAsia="Calibri" w:hAnsi="Calibri"/>
          <w:color w:val="222222"/>
          <w:sz w:val="21"/>
          <w:szCs w:val="21"/>
        </w:rPr>
        <w:t xml:space="preserve"> et à chaque évolution majeure des textes listés en section 7.</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 v1, 18/09/2026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Contraintes EnR — Dimeo Energie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2E54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Contraintes d'éligibilité des parcelles pour les projets EnR</dc:title>
  <dc:creator>Dimeo Energie</dc:creator>
  <cp:lastModifiedBy>Un-named</cp:lastModifiedBy>
  <cp:revision>1</cp:revision>
  <dcterms:created xsi:type="dcterms:W3CDTF">2026-09-18T20:33:19.251Z</dcterms:created>
  <dcterms:modified xsi:type="dcterms:W3CDTF">2026-09-18T20:33:19.261Z</dcterms:modified>
</cp:coreProperties>
</file>

<file path=docProps/custom.xml><?xml version="1.0" encoding="utf-8"?>
<Properties xmlns="http://schemas.openxmlformats.org/officeDocument/2006/custom-properties" xmlns:vt="http://schemas.openxmlformats.org/officeDocument/2006/docPropsVTypes"/>
</file>