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보행자 미시 시뮬레이션 모델 선정 및 파라미터 설정 보고서</w:t>
      </w:r>
    </w:p>
    <w:p>
      <w:pPr>
        <w:pStyle w:val="Heading1"/>
      </w:pPr>
      <w:r>
        <w:t>1. 시뮬레이션 프레임워크 선정: JuPedSim</w:t>
      </w:r>
    </w:p>
    <w:p>
      <w:pPr>
        <w:pStyle w:val="Heading2"/>
      </w:pPr>
      <w:r>
        <w:t>1.1 JuPedSim 개요</w:t>
      </w:r>
    </w:p>
    <w:p>
      <w:r>
        <w:t>JuPedSim(Juelich Pedestrian Simulator)은 독일 율리히 연구센터(Forschungszentrum Juelich) 시민안전연구소(IAS-7)에서 2010년부터 개발된 오픈소스 미시적(microscopic) 보행자 동역학 시뮬레이션 프레임워크이다 (Kemloh Wagoum et al., 2015). C++ 코어에 Python 바인딩으로 구성되어 있으며, GNU LGPLv3 라이선스로 배포된다.</w:t>
      </w:r>
    </w:p>
    <w:p>
      <w:pPr>
        <w:pStyle w:val="Heading2"/>
      </w:pPr>
      <w:r>
        <w:t>1.2 선정 근거</w:t>
      </w:r>
    </w:p>
    <w:p>
      <w:r>
        <w:t>지하철 역사 보행자 시뮬레이션에 가장 널리 사용되는 도구는 AnyLogic과 PTV Vissim/Viswalk이다 (Peng et al., 2024; Nanjing Metro study, 2021). 두 도구 모두 내장 게이트 모듈, 게이트 통과 시간 설정, 검증된 보행자 이동 로직 등 완성도 높은 기능을 제공하며, 다수의 선행연구에서 그 유효성이 입증되었다. 그럼에도 불구하고 본 연구에서 JuPedSim을 선정한 근거는 다음과 같다.</w:t>
      </w:r>
    </w:p>
    <w:p>
      <w:r>
        <w:rPr>
          <w:b/>
        </w:rPr>
        <w:t>첫째, 좁은 게이트 통로에 적합한 보행자 이동 모델.</w:t>
      </w:r>
      <w:r>
        <w:t xml:space="preserve"> 본 연구의 핵심 시뮬레이션 환경인 지하철 개찰구 통로 폭은 0.55m로, 보행자 직경(~0.45m) 대비 여유가 0.10m에 불과하다. AnyLogic과 PTV Vissim은 Social Force Model(SFM; Helbing &amp; Molnar, 1995)을 기반으로 하는데, SFM은 이러한 극히 좁은 통로에서 진동(oscillation), 에이전트 겹침(overlapping), 출구 막힘 등 구조적 한계가 보고되었다 (Kretz, 2015). JuPedSim이 지원하는 Collision-Free Speed Model V2(CFSM V2; Xu et al., 2019)는 속도 기반 모델로서 충돌을 원천적으로 방지하며, 좁은 게이트 통로에서도 안정적인 시뮬레이션이 가능하다. 특히 CFSM은 병목(bottleneck) 시나리오에서 실험 데이터와의 정량적 비교를 통해 검증된 바 있으며 (S. Zhang et al., 2019; Xu et al., 2019), 게이트 통로는 물리적으로 병목 문제와 동일하므로 검증된 모델의 새로운 적용(novel application)에 해당한다. 이것이 JuPedSim 선정의 가장 본질적인 이유이다 (상세 비교는 2장에서 기술한다).</w:t>
      </w:r>
    </w:p>
    <w:p>
      <w:r>
        <w:rPr>
          <w:b/>
        </w:rPr>
        <w:t>둘째, 에이전트별 파라미터 동적 제어.</w:t>
      </w:r>
      <w:r>
        <w:t xml:space="preserve"> CFSM V2 모델은 각 에이전트(보행자)마다 보행 속도, 반경, time gap 등의 파라미터를 개별적으로 설정하고, 시뮬레이션 도중에도 동적으로 변경할 수 있다. 이를 통해 게이트 대기열에서의 time gap 감소(바짝 붙어 서는 심리), 서비스 중 속도 감소, 태그리스/태그 사용자 유형별 차별화된 행태 등 본 연구에서 요구하는 세밀한 행태 모델링이 가능하다.</w:t>
      </w:r>
    </w:p>
    <w:p>
      <w:r>
        <w:rPr>
          <w:b/>
        </w:rPr>
        <w:t>셋째, 오픈소스 기반의 부수적 장점.</w:t>
      </w:r>
      <w:r>
        <w:t xml:space="preserve"> JuPedSim은 오픈소스(GNU LGPLv3)로서 시뮬레이션 코드와 파라미터를 완전히 공개할 수 있어 연구의 재현성 확보에 유리하다. 또한 Python API를 통해 태그리스/태그 혼합 운영 등 본 연구 고유의 의사결정 로직을 유연하게 구현할 수 있다. 다만 이는 AnyLogic(Java)이나 PTV Vissim(COM API)에서도 일정 수준 가능한 기능이므로, 부수적 장점으로 간주한다.</w:t>
      </w:r>
    </w:p>
    <w:p>
      <w:pPr>
        <w:pStyle w:val="Heading2"/>
      </w:pPr>
      <w:r>
        <w:t>1.3 주요 상용 도구와의 비교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항목</w:t>
            </w:r>
          </w:p>
        </w:tc>
        <w:tc>
          <w:tcPr>
            <w:tcW w:type="dxa" w:w="2160"/>
          </w:tcPr>
          <w:p>
            <w:pPr>
              <w:jc w:val="center"/>
            </w:pPr>
            <w:r>
              <w:rPr>
                <w:b/>
                <w:sz w:val="18"/>
              </w:rPr>
              <w:t>JuPedSim</w:t>
            </w:r>
          </w:p>
        </w:tc>
        <w:tc>
          <w:tcPr>
            <w:tcW w:type="dxa" w:w="2160"/>
          </w:tcPr>
          <w:p>
            <w:pPr>
              <w:jc w:val="center"/>
            </w:pPr>
            <w:r>
              <w:rPr>
                <w:b/>
                <w:sz w:val="18"/>
              </w:rPr>
              <w:t>AnyLogic</w:t>
            </w:r>
          </w:p>
        </w:tc>
        <w:tc>
          <w:tcPr>
            <w:tcW w:type="dxa" w:w="2160"/>
          </w:tcPr>
          <w:p>
            <w:pPr>
              <w:jc w:val="center"/>
            </w:pPr>
            <w:r>
              <w:rPr>
                <w:b/>
                <w:sz w:val="18"/>
              </w:rPr>
              <w:t>PTV Vissim/Viswalk</w:t>
            </w:r>
          </w:p>
        </w:tc>
      </w:tr>
      <w:tr>
        <w:tc>
          <w:tcPr>
            <w:tcW w:type="dxa" w:w="2160"/>
          </w:tcPr>
          <w:p>
            <w:pPr>
              <w:jc w:val="center"/>
            </w:pPr>
            <w:r>
              <w:rPr>
                <w:sz w:val="18"/>
              </w:rPr>
              <w:t>보행자 모델</w:t>
            </w:r>
          </w:p>
        </w:tc>
        <w:tc>
          <w:tcPr>
            <w:tcW w:type="dxa" w:w="2160"/>
          </w:tcPr>
          <w:p>
            <w:pPr>
              <w:jc w:val="center"/>
            </w:pPr>
            <w:r>
              <w:rPr>
                <w:sz w:val="18"/>
              </w:rPr>
              <w:t>CFSM V1/V2</w:t>
            </w:r>
          </w:p>
        </w:tc>
        <w:tc>
          <w:tcPr>
            <w:tcW w:type="dxa" w:w="2160"/>
          </w:tcPr>
          <w:p>
            <w:pPr>
              <w:jc w:val="center"/>
            </w:pPr>
            <w:r>
              <w:rPr>
                <w:sz w:val="18"/>
              </w:rPr>
              <w:t>Social Force Model</w:t>
            </w:r>
          </w:p>
        </w:tc>
        <w:tc>
          <w:tcPr>
            <w:tcW w:type="dxa" w:w="2160"/>
          </w:tcPr>
          <w:p>
            <w:pPr>
              <w:jc w:val="center"/>
            </w:pPr>
            <w:r>
              <w:rPr>
                <w:sz w:val="18"/>
              </w:rPr>
              <w:t>Social Force Model</w:t>
            </w:r>
          </w:p>
        </w:tc>
      </w:tr>
      <w:tr>
        <w:tc>
          <w:tcPr>
            <w:tcW w:type="dxa" w:w="2160"/>
          </w:tcPr>
          <w:p>
            <w:pPr>
              <w:jc w:val="center"/>
            </w:pPr>
            <w:r>
              <w:rPr>
                <w:sz w:val="18"/>
              </w:rPr>
              <w:t>좁은 통로(0.55m)</w:t>
              <w:br/>
              <w:t>안정성</w:t>
            </w:r>
          </w:p>
        </w:tc>
        <w:tc>
          <w:tcPr>
            <w:tcW w:type="dxa" w:w="2160"/>
          </w:tcPr>
          <w:p>
            <w:pPr>
              <w:jc w:val="center"/>
            </w:pPr>
            <w:r>
              <w:rPr>
                <w:sz w:val="18"/>
              </w:rPr>
              <w:t>높음</w:t>
              <w:br/>
              <w:t>(충돌 원천 방지)</w:t>
            </w:r>
          </w:p>
        </w:tc>
        <w:tc>
          <w:tcPr>
            <w:tcW w:type="dxa" w:w="2160"/>
          </w:tcPr>
          <w:p>
            <w:pPr>
              <w:jc w:val="center"/>
            </w:pPr>
            <w:r>
              <w:rPr>
                <w:sz w:val="18"/>
              </w:rPr>
              <w:t>보통</w:t>
              <w:br/>
              <w:t>(진동·겹침 가능)</w:t>
            </w:r>
          </w:p>
        </w:tc>
        <w:tc>
          <w:tcPr>
            <w:tcW w:type="dxa" w:w="2160"/>
          </w:tcPr>
          <w:p>
            <w:pPr>
              <w:jc w:val="center"/>
            </w:pPr>
            <w:r>
              <w:rPr>
                <w:sz w:val="18"/>
              </w:rPr>
              <w:t>보통</w:t>
              <w:br/>
              <w:t>(진동·겹침 가능)</w:t>
            </w:r>
          </w:p>
        </w:tc>
      </w:tr>
      <w:tr>
        <w:tc>
          <w:tcPr>
            <w:tcW w:type="dxa" w:w="2160"/>
          </w:tcPr>
          <w:p>
            <w:pPr>
              <w:jc w:val="center"/>
            </w:pPr>
            <w:r>
              <w:rPr>
                <w:sz w:val="18"/>
              </w:rPr>
              <w:t>내장 게이트 모듈</w:t>
            </w:r>
          </w:p>
        </w:tc>
        <w:tc>
          <w:tcPr>
            <w:tcW w:type="dxa" w:w="2160"/>
          </w:tcPr>
          <w:p>
            <w:pPr>
              <w:jc w:val="center"/>
            </w:pPr>
            <w:r>
              <w:rPr>
                <w:sz w:val="18"/>
              </w:rPr>
              <w:t>없음</w:t>
              <w:br/>
              <w:t>(코드 구현 필요)</w:t>
            </w:r>
          </w:p>
        </w:tc>
        <w:tc>
          <w:tcPr>
            <w:tcW w:type="dxa" w:w="2160"/>
          </w:tcPr>
          <w:p>
            <w:pPr>
              <w:jc w:val="center"/>
            </w:pPr>
            <w:r>
              <w:rPr>
                <w:sz w:val="18"/>
              </w:rPr>
              <w:t>있음</w:t>
              <w:br/>
              <w:t>(fare gate 내장)</w:t>
            </w:r>
          </w:p>
        </w:tc>
        <w:tc>
          <w:tcPr>
            <w:tcW w:type="dxa" w:w="2160"/>
          </w:tcPr>
          <w:p>
            <w:pPr>
              <w:jc w:val="center"/>
            </w:pPr>
            <w:r>
              <w:rPr>
                <w:sz w:val="18"/>
              </w:rPr>
              <w:t>있음</w:t>
              <w:br/>
              <w:t>(게이트 모듈)</w:t>
            </w:r>
          </w:p>
        </w:tc>
      </w:tr>
      <w:tr>
        <w:tc>
          <w:tcPr>
            <w:tcW w:type="dxa" w:w="2160"/>
          </w:tcPr>
          <w:p>
            <w:pPr>
              <w:jc w:val="center"/>
            </w:pPr>
            <w:r>
              <w:rPr>
                <w:sz w:val="18"/>
              </w:rPr>
              <w:t>에이전트별</w:t>
              <w:br/>
              <w:t>파라미터 동적 제어</w:t>
            </w:r>
          </w:p>
        </w:tc>
        <w:tc>
          <w:tcPr>
            <w:tcW w:type="dxa" w:w="2160"/>
          </w:tcPr>
          <w:p>
            <w:pPr>
              <w:jc w:val="center"/>
            </w:pPr>
            <w:r>
              <w:rPr>
                <w:sz w:val="18"/>
              </w:rPr>
              <w:t>지원</w:t>
              <w:br/>
              <w:t>(시뮬레이션 중 변경)</w:t>
            </w:r>
          </w:p>
        </w:tc>
        <w:tc>
          <w:tcPr>
            <w:tcW w:type="dxa" w:w="2160"/>
          </w:tcPr>
          <w:p>
            <w:pPr>
              <w:jc w:val="center"/>
            </w:pPr>
            <w:r>
              <w:rPr>
                <w:sz w:val="18"/>
              </w:rPr>
              <w:t>제한적</w:t>
            </w:r>
          </w:p>
        </w:tc>
        <w:tc>
          <w:tcPr>
            <w:tcW w:type="dxa" w:w="2160"/>
          </w:tcPr>
          <w:p>
            <w:pPr>
              <w:jc w:val="center"/>
            </w:pPr>
            <w:r>
              <w:rPr>
                <w:sz w:val="18"/>
              </w:rPr>
              <w:t>제한적</w:t>
            </w:r>
          </w:p>
        </w:tc>
      </w:tr>
      <w:tr>
        <w:tc>
          <w:tcPr>
            <w:tcW w:type="dxa" w:w="2160"/>
          </w:tcPr>
          <w:p>
            <w:pPr>
              <w:jc w:val="center"/>
            </w:pPr>
            <w:r>
              <w:rPr>
                <w:sz w:val="18"/>
              </w:rPr>
              <w:t>선행연구 활용도</w:t>
            </w:r>
          </w:p>
        </w:tc>
        <w:tc>
          <w:tcPr>
            <w:tcW w:type="dxa" w:w="2160"/>
          </w:tcPr>
          <w:p>
            <w:pPr>
              <w:jc w:val="center"/>
            </w:pPr>
            <w:r>
              <w:rPr>
                <w:sz w:val="18"/>
              </w:rPr>
              <w:t>낮음</w:t>
              <w:br/>
              <w:t>(게이트 시뮬 사례 없음)</w:t>
            </w:r>
          </w:p>
        </w:tc>
        <w:tc>
          <w:tcPr>
            <w:tcW w:type="dxa" w:w="2160"/>
          </w:tcPr>
          <w:p>
            <w:pPr>
              <w:jc w:val="center"/>
            </w:pPr>
            <w:r>
              <w:rPr>
                <w:sz w:val="18"/>
              </w:rPr>
              <w:t>높음</w:t>
              <w:br/>
              <w:t>(다수 논문)</w:t>
            </w:r>
          </w:p>
        </w:tc>
        <w:tc>
          <w:tcPr>
            <w:tcW w:type="dxa" w:w="2160"/>
          </w:tcPr>
          <w:p>
            <w:pPr>
              <w:jc w:val="center"/>
            </w:pPr>
            <w:r>
              <w:rPr>
                <w:sz w:val="18"/>
              </w:rPr>
              <w:t>높음</w:t>
              <w:br/>
              <w:t>(다수 논문)</w:t>
            </w:r>
          </w:p>
        </w:tc>
      </w:tr>
      <w:tr>
        <w:tc>
          <w:tcPr>
            <w:tcW w:type="dxa" w:w="2160"/>
          </w:tcPr>
          <w:p>
            <w:pPr>
              <w:jc w:val="center"/>
            </w:pPr>
            <w:r>
              <w:rPr>
                <w:sz w:val="18"/>
              </w:rPr>
              <w:t>라이선스</w:t>
            </w:r>
          </w:p>
        </w:tc>
        <w:tc>
          <w:tcPr>
            <w:tcW w:type="dxa" w:w="2160"/>
          </w:tcPr>
          <w:p>
            <w:pPr>
              <w:jc w:val="center"/>
            </w:pPr>
            <w:r>
              <w:rPr>
                <w:sz w:val="18"/>
              </w:rPr>
              <w:t>오픈소스 (LGPL)</w:t>
            </w:r>
          </w:p>
        </w:tc>
        <w:tc>
          <w:tcPr>
            <w:tcW w:type="dxa" w:w="2160"/>
          </w:tcPr>
          <w:p>
            <w:pPr>
              <w:jc w:val="center"/>
            </w:pPr>
            <w:r>
              <w:rPr>
                <w:sz w:val="18"/>
              </w:rPr>
              <w:t>상용 (학생 PLE 제한)</w:t>
            </w:r>
          </w:p>
        </w:tc>
        <w:tc>
          <w:tcPr>
            <w:tcW w:type="dxa" w:w="2160"/>
          </w:tcPr>
          <w:p>
            <w:pPr>
              <w:jc w:val="center"/>
            </w:pPr>
            <w:r>
              <w:rPr>
                <w:sz w:val="18"/>
              </w:rPr>
              <w:t>상용</w:t>
            </w:r>
          </w:p>
        </w:tc>
      </w:tr>
    </w:tbl>
    <w:p/>
    <w:p>
      <w:r>
        <w:t>위 비교에서 확인할 수 있듯이, AnyLogic과 PTV Vissim은 내장 게이트 모듈과 풍부한 선행연구 사례 등에서 우위를 가진다. 그러나 두 도구 모두 Social Force Model 기반으로서, 개찰구 통로 폭(0.55m)과 같은 극히 좁은 환경에서의 시뮬레이션 안정성에 구조적 한계가 있다. 본 연구에서는 이 좁은 게이트 통로에서의 보행자 흐름이 시뮬레이션의 핵심 대상이므로, 모델의 물리적 안정성을 최우선 기준으로 JuPedSim(CFSM V2)을 선정하였다.</w:t>
      </w:r>
    </w:p>
    <w:p>
      <w:pPr>
        <w:pStyle w:val="Heading1"/>
      </w:pPr>
      <w:r>
        <w:t>2. 보행자 이동 모델 선정: Collision-Free Speed Model V2</w:t>
      </w:r>
    </w:p>
    <w:p>
      <w:pPr>
        <w:pStyle w:val="Heading2"/>
      </w:pPr>
      <w:r>
        <w:t>2.1 Social Force Model의 한계</w:t>
      </w:r>
    </w:p>
    <w:p>
      <w:r>
        <w:t>Social Force Model(SFM; Helbing &amp; Molnar, 1995)은 보행자 시뮬레이션에서 가장 널리 사용되는 모델이나, 좁은 통로 환경에서 다음과 같은 구조적 한계가 보고되었다.</w:t>
      </w:r>
    </w:p>
    <w:p>
      <w:r>
        <w:rPr>
          <w:b/>
        </w:rPr>
        <w:t>진동 문제 (Oscillation).</w:t>
      </w:r>
      <w:r>
        <w:t xml:space="preserve"> Kretz(2015)는 SFM에서 보행자가 목적지 좌표 주위를 비현실적으로 진동하는 현상을 수학적으로 분석하였다. 일반적 파라미터(이완 시간 τ = 0.4s, 희망 속도 v₀ = 1.5 m/s) 하에서 진폭이 1cm 미만이 되기까지 약 7회 진동(~2.1초)이 필요하며, 이는 좁은 게이트 통로에서 비현실적인 보행 궤적을 유발한다.</w:t>
      </w:r>
    </w:p>
    <w:p>
      <w:r>
        <w:rPr>
          <w:b/>
        </w:rPr>
        <w:t>에이전트 겹침 (Overlapping).</w:t>
      </w:r>
      <w:r>
        <w:t xml:space="preserve"> SFM은 힘(force) 기반 모델로서, 반발력의 크기가 충분하지 않거나 시간 스텝이 클 경우 보행자 간 물리적 겹침이 발생할 수 있다. 이를 방지하기 위해 반발력을 증가시키면 진동이 심화되는 이중 딜레마(dual dilemma)가 존재한다 (Kretz, 2015).</w:t>
      </w:r>
    </w:p>
    <w:p>
      <w:r>
        <w:rPr>
          <w:b/>
        </w:rPr>
        <w:t>좁은 출구에서의 막힘.</w:t>
      </w:r>
      <w:r>
        <w:t xml:space="preserve"> 출구 모서리에서 과도한 심리적 힘(psychological force)으로 인해 대피 불가능 현상이 발생할 수 있다. 지하철 게이트 통로 폭(0.55m)은 보행자 직경(~0.45m) 대비 여유가 0.10m에 불과하여, SFM의 이러한 한계가 극대화되는 환경이다.</w:t>
      </w:r>
    </w:p>
    <w:p>
      <w:pPr>
        <w:pStyle w:val="Heading2"/>
      </w:pPr>
      <w:r>
        <w:t>2.2 Collision-Free Speed Model (CFSM) 개요</w:t>
      </w:r>
    </w:p>
    <w:p>
      <w:r>
        <w:t>CFSM은 Tordeux, Chraibi, &amp; Seyfried(2016)가 제안한 속도(velocity) 기반 보행자 이동 모델로, SFM의 구조적 한계를 해결하기 위해 개발되었다. 이후 Xu, Chraibi, Tordeux, &amp; Zhang(2019)에 의해 일반화된 V2 모델이 제안되었다.</w:t>
      </w:r>
    </w:p>
    <w:p>
      <w:pPr>
        <w:pStyle w:val="Heading2"/>
      </w:pPr>
      <w:r>
        <w:t>2.3 CFSM V2 수학적 공식</w:t>
      </w:r>
    </w:p>
    <w:p>
      <w:r>
        <w:rPr>
          <w:b/>
        </w:rPr>
        <w:t>속도 방정식:</w:t>
      </w:r>
    </w:p>
    <w:p>
      <w:r>
        <w:t>각 보행자 i의 이동 속도는 다음과 같이 결정된다.</w:t>
      </w:r>
    </w:p>
    <w:p>
      <w:pPr>
        <w:jc w:val="center"/>
      </w:pPr>
      <w:r>
        <w:rPr>
          <w:rFonts w:ascii="Cambria Math" w:hAnsi="Cambria Math"/>
          <w:sz w:val="22"/>
        </w:rPr>
        <w:t>ẋᵢ = Vᵢ(sᵢ) · eᵢ</w:t>
      </w:r>
    </w:p>
    <w:p>
      <w:r>
        <w:t>여기서 Vᵢ는 속도 함수(optimal velocity function), eᵢ는 이동 방향 함수이다.</w:t>
      </w:r>
    </w:p>
    <w:p>
      <w:r>
        <w:rPr>
          <w:b/>
        </w:rPr>
        <w:t>최적 속도 함수 (Optimal Velocity Function):</w:t>
      </w:r>
    </w:p>
    <w:p>
      <w:pPr>
        <w:jc w:val="center"/>
      </w:pPr>
      <w:r>
        <w:rPr>
          <w:rFonts w:ascii="Cambria Math" w:hAnsi="Cambria Math"/>
          <w:sz w:val="22"/>
        </w:rPr>
        <w:t>V(s) = min{v₀, max{0, (s − l) / T}}</w:t>
      </w:r>
    </w:p>
    <w:p>
      <w:pPr>
        <w:pStyle w:val="ListBullet"/>
      </w:pPr>
      <w:r>
        <w:t>v₀ : 희망 속도 (desired speed, m/s)</w:t>
      </w:r>
    </w:p>
    <w:p>
      <w:pPr>
        <w:pStyle w:val="ListBullet"/>
      </w:pPr>
      <w:r>
        <w:t>l : 에이전트 직경 (= 2 × radius, m)</w:t>
      </w:r>
    </w:p>
    <w:p>
      <w:pPr>
        <w:pStyle w:val="ListBullet"/>
      </w:pPr>
      <w:r>
        <w:t>T : 시간 간격 (time gap, s) — 안전 차간거리 유지를 위한 최소 시간</w:t>
      </w:r>
    </w:p>
    <w:p>
      <w:pPr>
        <w:pStyle w:val="ListBullet"/>
      </w:pPr>
      <w:r>
        <w:t>s : 전방 최근접 이웃까지의 거리 (m)</w:t>
      </w:r>
    </w:p>
    <w:p>
      <w:r>
        <w:t>이 함수의 핵심적 특성은, 전방 이웃과의 거리 s가 에이전트 직경 l 이하가 되면 속도가 자동으로 0이 되어 충돌이 원천적으로 방지된다는 점이다.</w:t>
      </w:r>
    </w:p>
    <w:p>
      <w:r>
        <w:rPr>
          <w:b/>
        </w:rPr>
        <w:t>방향 함수 (Direction Function):</w:t>
      </w:r>
    </w:p>
    <w:p>
      <w:pPr>
        <w:jc w:val="center"/>
      </w:pPr>
      <w:r>
        <w:rPr>
          <w:rFonts w:ascii="Cambria Math" w:hAnsi="Cambria Math"/>
          <w:sz w:val="22"/>
        </w:rPr>
        <w:t>eᵢ = normalize(e₀ + Σⱼ Rₙ(sᵢⱼ)·nᵢⱼ + Rg(sᵢw)·nᵢw)</w:t>
      </w:r>
    </w:p>
    <w:p>
      <w:pPr>
        <w:pStyle w:val="ListBullet"/>
      </w:pPr>
      <w:r>
        <w:t>e₀ : 목적지 방향 (desired direction)</w:t>
      </w:r>
    </w:p>
    <w:p>
      <w:pPr>
        <w:pStyle w:val="ListBullet"/>
      </w:pPr>
      <w:r>
        <w:t>Rₙ : 이웃 보행자 반발 함수</w:t>
      </w:r>
    </w:p>
    <w:p>
      <w:pPr>
        <w:pStyle w:val="ListBullet"/>
      </w:pPr>
      <w:r>
        <w:t>Rg : 벽/기하구조 반발 함수</w:t>
      </w:r>
    </w:p>
    <w:p>
      <w:pPr>
        <w:pStyle w:val="ListBullet"/>
      </w:pPr>
      <w:r>
        <w:t>nᵢⱼ, nᵢw : 이웃/벽으로부터의 단위 법선 벡터</w:t>
      </w:r>
    </w:p>
    <w:p>
      <w:r>
        <w:rPr>
          <w:b/>
        </w:rPr>
        <w:t>반발 함수 (Repulsion Function):</w:t>
      </w:r>
    </w:p>
    <w:p>
      <w:pPr>
        <w:jc w:val="center"/>
      </w:pPr>
      <w:r>
        <w:rPr>
          <w:rFonts w:ascii="Cambria Math" w:hAnsi="Cambria Math"/>
          <w:sz w:val="22"/>
        </w:rPr>
        <w:t>R(s) = a · exp((l − s) / D)</w:t>
      </w:r>
    </w:p>
    <w:p>
      <w:pPr>
        <w:pStyle w:val="ListBullet"/>
      </w:pPr>
      <w:r>
        <w:t>a : 반발 강도 (strength)</w:t>
      </w:r>
    </w:p>
    <w:p>
      <w:pPr>
        <w:pStyle w:val="ListBullet"/>
      </w:pPr>
      <w:r>
        <w:t>D : 반발 범위 (range) — 반발력이 유효한 거리 척도</w:t>
      </w:r>
    </w:p>
    <w:p>
      <w:pPr>
        <w:pStyle w:val="Heading2"/>
      </w:pPr>
      <w:r>
        <w:t>2.4 SFM 대비 CFSM의 구조적 차이</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특성</w:t>
            </w:r>
          </w:p>
        </w:tc>
        <w:tc>
          <w:tcPr>
            <w:tcW w:type="dxa" w:w="2880"/>
          </w:tcPr>
          <w:p>
            <w:pPr>
              <w:jc w:val="center"/>
            </w:pPr>
            <w:r>
              <w:rPr>
                <w:b/>
                <w:sz w:val="18"/>
              </w:rPr>
              <w:t>SFM (Helbing, 1995)</w:t>
            </w:r>
          </w:p>
        </w:tc>
        <w:tc>
          <w:tcPr>
            <w:tcW w:type="dxa" w:w="2880"/>
          </w:tcPr>
          <w:p>
            <w:pPr>
              <w:jc w:val="center"/>
            </w:pPr>
            <w:r>
              <w:rPr>
                <w:b/>
                <w:sz w:val="18"/>
              </w:rPr>
              <w:t>CFSM V2 (Xu et al., 2019)</w:t>
            </w:r>
          </w:p>
        </w:tc>
      </w:tr>
      <w:tr>
        <w:tc>
          <w:tcPr>
            <w:tcW w:type="dxa" w:w="2880"/>
          </w:tcPr>
          <w:p>
            <w:pPr>
              <w:jc w:val="center"/>
            </w:pPr>
            <w:r>
              <w:rPr>
                <w:sz w:val="18"/>
              </w:rPr>
              <w:t>기본 접근</w:t>
            </w:r>
          </w:p>
        </w:tc>
        <w:tc>
          <w:tcPr>
            <w:tcW w:type="dxa" w:w="2880"/>
          </w:tcPr>
          <w:p>
            <w:pPr>
              <w:jc w:val="center"/>
            </w:pPr>
            <w:r>
              <w:rPr>
                <w:sz w:val="18"/>
              </w:rPr>
              <w:t>뉴턴 역학 (F = ma)</w:t>
            </w:r>
          </w:p>
        </w:tc>
        <w:tc>
          <w:tcPr>
            <w:tcW w:type="dxa" w:w="2880"/>
          </w:tcPr>
          <w:p>
            <w:pPr>
              <w:jc w:val="center"/>
            </w:pPr>
            <w:r>
              <w:rPr>
                <w:sz w:val="18"/>
              </w:rPr>
              <w:t>1차 속도 방정식</w:t>
            </w:r>
          </w:p>
        </w:tc>
      </w:tr>
      <w:tr>
        <w:tc>
          <w:tcPr>
            <w:tcW w:type="dxa" w:w="2880"/>
          </w:tcPr>
          <w:p>
            <w:pPr>
              <w:jc w:val="center"/>
            </w:pPr>
            <w:r>
              <w:rPr>
                <w:sz w:val="18"/>
              </w:rPr>
              <w:t>상호작용</w:t>
            </w:r>
          </w:p>
        </w:tc>
        <w:tc>
          <w:tcPr>
            <w:tcW w:type="dxa" w:w="2880"/>
          </w:tcPr>
          <w:p>
            <w:pPr>
              <w:jc w:val="center"/>
            </w:pPr>
            <w:r>
              <w:rPr>
                <w:sz w:val="18"/>
              </w:rPr>
              <w:t>반발력(force)</w:t>
            </w:r>
          </w:p>
        </w:tc>
        <w:tc>
          <w:tcPr>
            <w:tcW w:type="dxa" w:w="2880"/>
          </w:tcPr>
          <w:p>
            <w:pPr>
              <w:jc w:val="center"/>
            </w:pPr>
            <w:r>
              <w:rPr>
                <w:sz w:val="18"/>
              </w:rPr>
              <w:t>방향 편향(deflection)</w:t>
            </w:r>
          </w:p>
        </w:tc>
      </w:tr>
      <w:tr>
        <w:tc>
          <w:tcPr>
            <w:tcW w:type="dxa" w:w="2880"/>
          </w:tcPr>
          <w:p>
            <w:pPr>
              <w:jc w:val="center"/>
            </w:pPr>
            <w:r>
              <w:rPr>
                <w:sz w:val="18"/>
              </w:rPr>
              <w:t>충돌 처리</w:t>
            </w:r>
          </w:p>
        </w:tc>
        <w:tc>
          <w:tcPr>
            <w:tcW w:type="dxa" w:w="2880"/>
          </w:tcPr>
          <w:p>
            <w:pPr>
              <w:jc w:val="center"/>
            </w:pPr>
            <w:r>
              <w:rPr>
                <w:sz w:val="18"/>
              </w:rPr>
              <w:t>사후 반발 (겹침 발생 가능)</w:t>
            </w:r>
          </w:p>
        </w:tc>
        <w:tc>
          <w:tcPr>
            <w:tcW w:type="dxa" w:w="2880"/>
          </w:tcPr>
          <w:p>
            <w:pPr>
              <w:jc w:val="center"/>
            </w:pPr>
            <w:r>
              <w:rPr>
                <w:sz w:val="18"/>
              </w:rPr>
              <w:t>사전 방지 (속도 → 0)</w:t>
            </w:r>
          </w:p>
        </w:tc>
      </w:tr>
      <w:tr>
        <w:tc>
          <w:tcPr>
            <w:tcW w:type="dxa" w:w="2880"/>
          </w:tcPr>
          <w:p>
            <w:pPr>
              <w:jc w:val="center"/>
            </w:pPr>
            <w:r>
              <w:rPr>
                <w:sz w:val="18"/>
              </w:rPr>
              <w:t>진동</w:t>
            </w:r>
          </w:p>
        </w:tc>
        <w:tc>
          <w:tcPr>
            <w:tcW w:type="dxa" w:w="2880"/>
          </w:tcPr>
          <w:p>
            <w:pPr>
              <w:jc w:val="center"/>
            </w:pPr>
            <w:r>
              <w:rPr>
                <w:sz w:val="18"/>
              </w:rPr>
              <w:t>발생 (Kretz, 2015)</w:t>
            </w:r>
          </w:p>
        </w:tc>
        <w:tc>
          <w:tcPr>
            <w:tcW w:type="dxa" w:w="2880"/>
          </w:tcPr>
          <w:p>
            <w:pPr>
              <w:jc w:val="center"/>
            </w:pPr>
            <w:r>
              <w:rPr>
                <w:sz w:val="18"/>
              </w:rPr>
              <w:t>발생하지 않음</w:t>
            </w:r>
          </w:p>
        </w:tc>
      </w:tr>
      <w:tr>
        <w:tc>
          <w:tcPr>
            <w:tcW w:type="dxa" w:w="2880"/>
          </w:tcPr>
          <w:p>
            <w:pPr>
              <w:jc w:val="center"/>
            </w:pPr>
            <w:r>
              <w:rPr>
                <w:sz w:val="18"/>
              </w:rPr>
              <w:t>계산 비용</w:t>
            </w:r>
          </w:p>
        </w:tc>
        <w:tc>
          <w:tcPr>
            <w:tcW w:type="dxa" w:w="2880"/>
          </w:tcPr>
          <w:p>
            <w:pPr>
              <w:jc w:val="center"/>
            </w:pPr>
            <w:r>
              <w:rPr>
                <w:sz w:val="18"/>
              </w:rPr>
              <w:t>2차 미분방정식 (높음)</w:t>
            </w:r>
          </w:p>
        </w:tc>
        <w:tc>
          <w:tcPr>
            <w:tcW w:type="dxa" w:w="2880"/>
          </w:tcPr>
          <w:p>
            <w:pPr>
              <w:jc w:val="center"/>
            </w:pPr>
            <w:r>
              <w:rPr>
                <w:sz w:val="18"/>
              </w:rPr>
              <w:t>1차 방정식 (낮음)</w:t>
            </w:r>
          </w:p>
        </w:tc>
      </w:tr>
      <w:tr>
        <w:tc>
          <w:tcPr>
            <w:tcW w:type="dxa" w:w="2880"/>
          </w:tcPr>
          <w:p>
            <w:pPr>
              <w:jc w:val="center"/>
            </w:pPr>
            <w:r>
              <w:rPr>
                <w:sz w:val="18"/>
              </w:rPr>
              <w:t>좁은 통로</w:t>
            </w:r>
          </w:p>
        </w:tc>
        <w:tc>
          <w:tcPr>
            <w:tcW w:type="dxa" w:w="2880"/>
          </w:tcPr>
          <w:p>
            <w:pPr>
              <w:jc w:val="center"/>
            </w:pPr>
            <w:r>
              <w:rPr>
                <w:sz w:val="18"/>
              </w:rPr>
              <w:t>불안정</w:t>
            </w:r>
          </w:p>
        </w:tc>
        <w:tc>
          <w:tcPr>
            <w:tcW w:type="dxa" w:w="2880"/>
          </w:tcPr>
          <w:p>
            <w:pPr>
              <w:jc w:val="center"/>
            </w:pPr>
            <w:r>
              <w:rPr>
                <w:sz w:val="18"/>
              </w:rPr>
              <w:t>안정적</w:t>
            </w:r>
          </w:p>
        </w:tc>
      </w:tr>
      <w:tr>
        <w:tc>
          <w:tcPr>
            <w:tcW w:type="dxa" w:w="2880"/>
          </w:tcPr>
          <w:p>
            <w:pPr>
              <w:jc w:val="center"/>
            </w:pPr>
            <w:r>
              <w:rPr>
                <w:sz w:val="18"/>
              </w:rPr>
              <w:t>파라미터 해석</w:t>
            </w:r>
          </w:p>
        </w:tc>
        <w:tc>
          <w:tcPr>
            <w:tcW w:type="dxa" w:w="2880"/>
          </w:tcPr>
          <w:p>
            <w:pPr>
              <w:jc w:val="center"/>
            </w:pPr>
            <w:r>
              <w:rPr>
                <w:sz w:val="18"/>
              </w:rPr>
              <w:t>사회적 힘 (추상적)</w:t>
            </w:r>
          </w:p>
        </w:tc>
        <w:tc>
          <w:tcPr>
            <w:tcW w:type="dxa" w:w="2880"/>
          </w:tcPr>
          <w:p>
            <w:pPr>
              <w:jc w:val="center"/>
            </w:pPr>
            <w:r>
              <w:rPr>
                <w:sz w:val="18"/>
              </w:rPr>
              <w:t>물리적 관측량 (직관적)</w:t>
            </w:r>
          </w:p>
        </w:tc>
      </w:tr>
    </w:tbl>
    <w:p>
      <w:pPr>
        <w:pStyle w:val="Heading2"/>
      </w:pPr>
      <w:r>
        <w:t>2.5 V1 대비 V2의 개선점</w:t>
      </w:r>
    </w:p>
    <w:p>
      <w:r>
        <w:t>CFSM V2 (Xu et al., 2019)는 V1 대비 다음과 같은 개선이 이루어졌다.</w:t>
      </w:r>
    </w:p>
    <w:p>
      <w:r>
        <w:rPr>
          <w:b/>
        </w:rPr>
        <w:t xml:space="preserve">1. </w:t>
      </w:r>
      <w:r>
        <w:rPr>
          <w:b/>
        </w:rPr>
        <w:t xml:space="preserve">벽면 반발력 통합: </w:t>
      </w:r>
      <w:r>
        <w:t>V1에서는 이웃 보행자 반발만 고려하였으나, V2에서는 벽/기하구조의 반발력을 모델에 통합하여 벽면 근처에서의 보행 행태를 현실적으로 반영한다.</w:t>
      </w:r>
    </w:p>
    <w:p>
      <w:r>
        <w:rPr>
          <w:b/>
        </w:rPr>
        <w:t xml:space="preserve">2. </w:t>
      </w:r>
      <w:r>
        <w:rPr>
          <w:b/>
        </w:rPr>
        <w:t xml:space="preserve">에이전트별 개별 파라미터: </w:t>
      </w:r>
      <w:r>
        <w:t>V1은 전역(global) 파라미터만 지원하였으나, V2는 각 에이전트마다 보행 속도, 반경, time gap, 반발 강도/범위를 개별 설정하고 시뮬레이션 도중 동적으로 변경할 수 있다.</w:t>
      </w:r>
    </w:p>
    <w:p>
      <w:r>
        <w:rPr>
          <w:b/>
        </w:rPr>
        <w:t xml:space="preserve">3. </w:t>
      </w:r>
      <w:r>
        <w:rPr>
          <w:b/>
        </w:rPr>
        <w:t xml:space="preserve">방향 함수 개선: </w:t>
      </w:r>
      <w:r>
        <w:t>보행자 방향 전환 시 더 부드러운 변화를 제공하여 비현실적 후진을 감소시켰다.</w:t>
      </w:r>
    </w:p>
    <w:p>
      <w:r>
        <w:t>본 연구에서는 게이트 대기열에서의 time gap 동적 변경(대기 시 바짝 붙어 서는 심리 반영), 서비스 중 속도 감소 등 에이전트별 파라미터 동적 제어가 필수적이므로 V2 모델을 채택하였다.</w:t>
      </w:r>
    </w:p>
    <w:p>
      <w:pPr>
        <w:pStyle w:val="Heading2"/>
      </w:pPr>
      <w:r>
        <w:t>2.6 본 연구에서의 CFSM V2 선정 근거 요약</w:t>
      </w:r>
    </w:p>
    <w:p>
      <w:r>
        <w:t>1. 게이트 통로 폭(0.55m)이 보행자 직경(~0.45m) 대비 극히 좁아 SFM의 진동·겹침 문제가 심각하게 발생하는 환경이다.</w:t>
      </w:r>
    </w:p>
    <w:p>
      <w:r>
        <w:t>2. CFSM V2는 속도 기반 모델로 충돌을 원천 방지하므로, 좁은 게이트 통로에서도 안정적인 시뮬레이션이 가능하다.</w:t>
      </w:r>
    </w:p>
    <w:p>
      <w:r>
        <w:t>3. 에이전트별 파라미터 동적 제어를 통해 대기열 행태(time gap 감소), 서비스 시간 모델(속도 감소), 태그리스/태그 사용자 유형별 차별화된 행태를 구현할 수 있다.</w:t>
      </w:r>
    </w:p>
    <w:p>
      <w:r>
        <w:t>4. 파라미터가 물리적으로 관측 가능한 양(보행 속도, 보행자 반경, 시간 간격)으로 구성되어, 선행연구 실측 데이터와의 대응이 용이하다.</w:t>
      </w:r>
    </w:p>
    <w:p>
      <w:pPr>
        <w:pStyle w:val="Heading2"/>
      </w:pPr>
      <w:r>
        <w:t>2.7 CFSM의 병목 시나리오 검증 사례</w:t>
      </w:r>
    </w:p>
    <w:p>
      <w:r>
        <w:t>본 연구에서 CFSM V2를 지하철 게이트 시뮬레이션에 적용하는 것은, 기존에 CFSM으로 게이트를 직접 시뮬레이션한 선행연구가 없다는 점에서 새로운 시도이다. 그러나 게이트 통로(폭 0.55m, 길이 1.5m)는 물리적으로 병목(bottleneck) 문제와 본질적으로 동일하며, CFSM은 병목 시나리오에서 실험 데이터를 통해 충분히 검증되었다. 주요 검증 사례는 다음과 같다.</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논문</w:t>
            </w:r>
          </w:p>
        </w:tc>
        <w:tc>
          <w:tcPr>
            <w:tcW w:type="dxa" w:w="2880"/>
          </w:tcPr>
          <w:p>
            <w:pPr>
              <w:jc w:val="center"/>
            </w:pPr>
            <w:r>
              <w:rPr>
                <w:b/>
                <w:sz w:val="18"/>
              </w:rPr>
              <w:t>검증 시나리오</w:t>
            </w:r>
          </w:p>
        </w:tc>
        <w:tc>
          <w:tcPr>
            <w:tcW w:type="dxa" w:w="2880"/>
          </w:tcPr>
          <w:p>
            <w:pPr>
              <w:jc w:val="center"/>
            </w:pPr>
            <w:r>
              <w:rPr>
                <w:b/>
                <w:sz w:val="18"/>
              </w:rPr>
              <w:t>핵심 결과</w:t>
            </w:r>
          </w:p>
        </w:tc>
      </w:tr>
      <w:tr>
        <w:tc>
          <w:tcPr>
            <w:tcW w:type="dxa" w:w="2880"/>
          </w:tcPr>
          <w:p>
            <w:pPr>
              <w:jc w:val="center"/>
            </w:pPr>
            <w:r>
              <w:rPr>
                <w:sz w:val="18"/>
              </w:rPr>
              <w:t>S. Zhang et al.</w:t>
              <w:br/>
              <w:t>(2019, IEEE)</w:t>
            </w:r>
          </w:p>
        </w:tc>
        <w:tc>
          <w:tcPr>
            <w:tcW w:type="dxa" w:w="2880"/>
          </w:tcPr>
          <w:p>
            <w:pPr>
              <w:jc w:val="center"/>
            </w:pPr>
            <w:r>
              <w:rPr>
                <w:sz w:val="18"/>
              </w:rPr>
              <w:t>병목 직접 검증</w:t>
            </w:r>
          </w:p>
        </w:tc>
        <w:tc>
          <w:tcPr>
            <w:tcW w:type="dxa" w:w="2880"/>
          </w:tcPr>
          <w:p>
            <w:pPr>
              <w:jc w:val="center"/>
            </w:pPr>
            <w:r>
              <w:rPr>
                <w:sz w:val="18"/>
              </w:rPr>
              <w:t>밀도 &lt; 3.33 m⁻²에서</w:t>
              <w:br/>
              <w:t>flow-density 관계 재현</w:t>
            </w:r>
          </w:p>
        </w:tc>
      </w:tr>
      <w:tr>
        <w:tc>
          <w:tcPr>
            <w:tcW w:type="dxa" w:w="2880"/>
          </w:tcPr>
          <w:p>
            <w:pPr>
              <w:jc w:val="center"/>
            </w:pPr>
            <w:r>
              <w:rPr>
                <w:sz w:val="18"/>
              </w:rPr>
              <w:t>Xu et al.</w:t>
              <w:br/>
              <w:t>(2019, Physica A)</w:t>
            </w:r>
          </w:p>
        </w:tc>
        <w:tc>
          <w:tcPr>
            <w:tcW w:type="dxa" w:w="2880"/>
          </w:tcPr>
          <w:p>
            <w:pPr>
              <w:jc w:val="center"/>
            </w:pPr>
            <w:r>
              <w:rPr>
                <w:sz w:val="18"/>
              </w:rPr>
              <w:t>복도 + 병목</w:t>
            </w:r>
          </w:p>
        </w:tc>
        <w:tc>
          <w:tcPr>
            <w:tcW w:type="dxa" w:w="2880"/>
          </w:tcPr>
          <w:p>
            <w:pPr>
              <w:jc w:val="center"/>
            </w:pPr>
            <w:r>
              <w:rPr>
                <w:sz w:val="18"/>
              </w:rPr>
              <w:t>동적 타원형 도입,</w:t>
              <w:br/>
              <w:t>기본 다이어그램 검증</w:t>
            </w:r>
          </w:p>
        </w:tc>
      </w:tr>
      <w:tr>
        <w:tc>
          <w:tcPr>
            <w:tcW w:type="dxa" w:w="2880"/>
          </w:tcPr>
          <w:p>
            <w:pPr>
              <w:jc w:val="center"/>
            </w:pPr>
            <w:r>
              <w:rPr>
                <w:sz w:val="18"/>
              </w:rPr>
              <w:t>S. Zhang et al.</w:t>
              <w:br/>
              <w:t>(2021, CNSNS)</w:t>
            </w:r>
          </w:p>
        </w:tc>
        <w:tc>
          <w:tcPr>
            <w:tcW w:type="dxa" w:w="2880"/>
          </w:tcPr>
          <w:p>
            <w:pPr>
              <w:jc w:val="center"/>
            </w:pPr>
            <w:r>
              <w:rPr>
                <w:sz w:val="18"/>
              </w:rPr>
              <w:t>병목, 궤적 분포</w:t>
            </w:r>
          </w:p>
        </w:tc>
        <w:tc>
          <w:tcPr>
            <w:tcW w:type="dxa" w:w="2880"/>
          </w:tcPr>
          <w:p>
            <w:pPr>
              <w:jc w:val="center"/>
            </w:pPr>
            <w:r>
              <w:rPr>
                <w:sz w:val="18"/>
              </w:rPr>
              <w:t>보행 선호도 반영으로</w:t>
              <w:br/>
              <w:t>궤적 현실성 향상</w:t>
            </w:r>
          </w:p>
        </w:tc>
      </w:tr>
      <w:tr>
        <w:tc>
          <w:tcPr>
            <w:tcW w:type="dxa" w:w="2880"/>
          </w:tcPr>
          <w:p>
            <w:pPr>
              <w:jc w:val="center"/>
            </w:pPr>
            <w:r>
              <w:rPr>
                <w:sz w:val="18"/>
              </w:rPr>
              <w:t>Rzezonka et al.</w:t>
              <w:br/>
              <w:t>(2022, Royal Society)</w:t>
            </w:r>
          </w:p>
        </w:tc>
        <w:tc>
          <w:tcPr>
            <w:tcW w:type="dxa" w:w="2880"/>
          </w:tcPr>
          <w:p>
            <w:pPr>
              <w:jc w:val="center"/>
            </w:pPr>
            <w:r>
              <w:rPr>
                <w:sz w:val="18"/>
              </w:rPr>
              <w:t>병목 앞 복도 폭 변화</w:t>
            </w:r>
          </w:p>
        </w:tc>
        <w:tc>
          <w:tcPr>
            <w:tcW w:type="dxa" w:w="2880"/>
          </w:tcPr>
          <w:p>
            <w:pPr>
              <w:jc w:val="center"/>
            </w:pPr>
            <w:r>
              <w:rPr>
                <w:sz w:val="18"/>
              </w:rPr>
              <w:t>물리적 원인으로</w:t>
              <w:br/>
              <w:t>밀도 증가 현상 설명</w:t>
            </w:r>
          </w:p>
        </w:tc>
      </w:tr>
      <w:tr>
        <w:tc>
          <w:tcPr>
            <w:tcW w:type="dxa" w:w="2880"/>
          </w:tcPr>
          <w:p>
            <w:pPr>
              <w:jc w:val="center"/>
            </w:pPr>
            <w:r>
              <w:rPr>
                <w:sz w:val="18"/>
              </w:rPr>
              <w:t>Seyfried et al.</w:t>
              <w:br/>
              <w:t>(2005; 2010)</w:t>
            </w:r>
          </w:p>
        </w:tc>
        <w:tc>
          <w:tcPr>
            <w:tcW w:type="dxa" w:w="2880"/>
          </w:tcPr>
          <w:p>
            <w:pPr>
              <w:jc w:val="center"/>
            </w:pPr>
            <w:r>
              <w:rPr>
                <w:sz w:val="18"/>
              </w:rPr>
              <w:t>병목 실험 데이터</w:t>
            </w:r>
          </w:p>
        </w:tc>
        <w:tc>
          <w:tcPr>
            <w:tcW w:type="dxa" w:w="2880"/>
          </w:tcPr>
          <w:p>
            <w:pPr>
              <w:jc w:val="center"/>
            </w:pPr>
            <w:r>
              <w:rPr>
                <w:sz w:val="18"/>
              </w:rPr>
              <w:t>CFSM 파라미터 보정에</w:t>
              <w:br/>
              <w:t>사용된 기초 실험 데이터</w:t>
            </w:r>
          </w:p>
        </w:tc>
      </w:tr>
    </w:tbl>
    <w:p/>
    <w:p>
      <w:r>
        <w:t>특히 S. Zhang et al.(2019)은 CFSM을 실험적 병목 데이터와 정량적으로 비교하여, 밀도 3.33 m⁻² 미만의 조건에서 흐름(flow)과 밀도(density) 간의 관계를 재현할 수 있음을 확인하였다. 지하철 개찰구의 일반적 운영 조건은 이 밀도 범위에 해당하므로, CFSM의 적용 타당성이 확보된다.</w:t>
      </w:r>
    </w:p>
    <w:p>
      <w:r>
        <w:t>또한 Xu et al.(2019)은 CFSM V2(일반화된 충돌 회피 속도 모델)를 복도 및 병목 시나리오에서 검증하여, 좁은 공간에서의 기본 다이어그램(fundamental diagram)과 군중 분포가 실험 데이터와 부합함을 확인하였다.</w:t>
      </w:r>
    </w:p>
    <w:p>
      <w:r>
        <w:t>따라서 본 연구에서의 CFSM V2 적용은 검증되지 않은 모델의 사용이 아니라, 병목 시나리오에서 검증된 모델을 물리적으로 동일한 게이트 통과 문제에 적용하는 것으로서, 방법론적 타당성을 가진다.</w:t>
      </w:r>
    </w:p>
    <w:p>
      <w:pPr>
        <w:pStyle w:val="Heading1"/>
      </w:pPr>
      <w:r>
        <w:t>3. 핵심 파라미터 설정</w:t>
      </w:r>
    </w:p>
    <w:p>
      <w:pPr>
        <w:pStyle w:val="Heading2"/>
      </w:pPr>
      <w:r>
        <w:t>3.1 보행자 물리 파라미터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파라미터</w:t>
            </w:r>
          </w:p>
        </w:tc>
        <w:tc>
          <w:tcPr>
            <w:tcW w:type="dxa" w:w="2160"/>
          </w:tcPr>
          <w:p>
            <w:pPr>
              <w:jc w:val="center"/>
            </w:pPr>
            <w:r>
              <w:rPr>
                <w:b/>
                <w:sz w:val="18"/>
              </w:rPr>
              <w:t>기호</w:t>
            </w:r>
          </w:p>
        </w:tc>
        <w:tc>
          <w:tcPr>
            <w:tcW w:type="dxa" w:w="2160"/>
          </w:tcPr>
          <w:p>
            <w:pPr>
              <w:jc w:val="center"/>
            </w:pPr>
            <w:r>
              <w:rPr>
                <w:b/>
                <w:sz w:val="18"/>
              </w:rPr>
              <w:t>설정값</w:t>
            </w:r>
          </w:p>
        </w:tc>
        <w:tc>
          <w:tcPr>
            <w:tcW w:type="dxa" w:w="2160"/>
          </w:tcPr>
          <w:p>
            <w:pPr>
              <w:jc w:val="center"/>
            </w:pPr>
            <w:r>
              <w:rPr>
                <w:b/>
                <w:sz w:val="18"/>
              </w:rPr>
              <w:t>출처</w:t>
            </w:r>
          </w:p>
        </w:tc>
      </w:tr>
      <w:tr>
        <w:tc>
          <w:tcPr>
            <w:tcW w:type="dxa" w:w="2160"/>
          </w:tcPr>
          <w:p>
            <w:pPr>
              <w:jc w:val="center"/>
            </w:pPr>
            <w:r>
              <w:rPr>
                <w:sz w:val="18"/>
              </w:rPr>
              <w:t>보행자 반경</w:t>
            </w:r>
          </w:p>
        </w:tc>
        <w:tc>
          <w:tcPr>
            <w:tcW w:type="dxa" w:w="2160"/>
          </w:tcPr>
          <w:p>
            <w:pPr>
              <w:jc w:val="center"/>
            </w:pPr>
            <w:r>
              <w:rPr>
                <w:sz w:val="18"/>
              </w:rPr>
              <w:t>r</w:t>
            </w:r>
          </w:p>
        </w:tc>
        <w:tc>
          <w:tcPr>
            <w:tcW w:type="dxa" w:w="2160"/>
          </w:tcPr>
          <w:p>
            <w:pPr>
              <w:jc w:val="center"/>
            </w:pPr>
            <w:r>
              <w:rPr>
                <w:sz w:val="18"/>
              </w:rPr>
              <w:t>0.225 m</w:t>
            </w:r>
          </w:p>
        </w:tc>
        <w:tc>
          <w:tcPr>
            <w:tcW w:type="dxa" w:w="2160"/>
          </w:tcPr>
          <w:p>
            <w:pPr>
              <w:jc w:val="center"/>
            </w:pPr>
            <w:r>
              <w:rPr>
                <w:sz w:val="18"/>
              </w:rPr>
              <w:t>Weidmann (1993)</w:t>
            </w:r>
          </w:p>
        </w:tc>
      </w:tr>
      <w:tr>
        <w:tc>
          <w:tcPr>
            <w:tcW w:type="dxa" w:w="2160"/>
          </w:tcPr>
          <w:p>
            <w:pPr>
              <w:jc w:val="center"/>
            </w:pPr>
            <w:r>
              <w:rPr>
                <w:sz w:val="18"/>
              </w:rPr>
              <w:t>희망 보행 속도</w:t>
            </w:r>
          </w:p>
        </w:tc>
        <w:tc>
          <w:tcPr>
            <w:tcW w:type="dxa" w:w="2160"/>
          </w:tcPr>
          <w:p>
            <w:pPr>
              <w:jc w:val="center"/>
            </w:pPr>
            <w:r>
              <w:rPr>
                <w:sz w:val="18"/>
              </w:rPr>
              <w:t>v₀</w:t>
            </w:r>
          </w:p>
        </w:tc>
        <w:tc>
          <w:tcPr>
            <w:tcW w:type="dxa" w:w="2160"/>
          </w:tcPr>
          <w:p>
            <w:pPr>
              <w:jc w:val="center"/>
            </w:pPr>
            <w:r>
              <w:rPr>
                <w:sz w:val="18"/>
              </w:rPr>
              <w:t>N(1.34, 0.26) m/s</w:t>
            </w:r>
          </w:p>
        </w:tc>
        <w:tc>
          <w:tcPr>
            <w:tcW w:type="dxa" w:w="2160"/>
          </w:tcPr>
          <w:p>
            <w:pPr>
              <w:jc w:val="center"/>
            </w:pPr>
            <w:r>
              <w:rPr>
                <w:sz w:val="18"/>
              </w:rPr>
              <w:t>Weidmann (1993)</w:t>
            </w:r>
          </w:p>
        </w:tc>
      </w:tr>
      <w:tr>
        <w:tc>
          <w:tcPr>
            <w:tcW w:type="dxa" w:w="2160"/>
          </w:tcPr>
          <w:p>
            <w:pPr>
              <w:jc w:val="center"/>
            </w:pPr>
            <w:r>
              <w:rPr>
                <w:sz w:val="18"/>
              </w:rPr>
              <w:t>속도 범위</w:t>
            </w:r>
          </w:p>
        </w:tc>
        <w:tc>
          <w:tcPr>
            <w:tcW w:type="dxa" w:w="2160"/>
          </w:tcPr>
          <w:p>
            <w:pPr>
              <w:jc w:val="center"/>
            </w:pPr>
            <w:r>
              <w:rPr>
                <w:sz w:val="18"/>
              </w:rPr>
              <w:t>-</w:t>
            </w:r>
          </w:p>
        </w:tc>
        <w:tc>
          <w:tcPr>
            <w:tcW w:type="dxa" w:w="2160"/>
          </w:tcPr>
          <w:p>
            <w:pPr>
              <w:jc w:val="center"/>
            </w:pPr>
            <w:r>
              <w:rPr>
                <w:sz w:val="18"/>
              </w:rPr>
              <w:t>0.5 ~ 2.0 m/s (clip)</w:t>
            </w:r>
          </w:p>
        </w:tc>
        <w:tc>
          <w:tcPr>
            <w:tcW w:type="dxa" w:w="2160"/>
          </w:tcPr>
          <w:p>
            <w:pPr>
              <w:jc w:val="center"/>
            </w:pPr>
            <w:r>
              <w:rPr>
                <w:sz w:val="18"/>
              </w:rPr>
              <w:t>-</w:t>
            </w:r>
          </w:p>
        </w:tc>
      </w:tr>
    </w:tbl>
    <w:p/>
    <w:p>
      <w:r>
        <w:t>Weidmann(1993)은 ETH Zurich에서 발표된 보행자 교통공학 분야의 기초 문헌으로, 비혼잡 상태의 자유보행속도(free-flow speed) 분포를 정규분포 N(1.34, 0.26) m/s로 제시하였다. 보행자 시뮬레이션 분야에서 가장 널리 인용되는 보행 속도 파라미터 출처이며, JuPedSim의 공식 예제에서도 이 값을 기본으로 사용한다.</w:t>
      </w:r>
    </w:p>
    <w:p>
      <w:r>
        <w:t>보행자 반경 0.225m(직경 0.45m)는 성인 어깨폭의 절반에 해당하며, 게이트 통로 폭(0.55m) 대비 양측 0.05m의 여유를 제공한다.</w:t>
      </w:r>
    </w:p>
    <w:p>
      <w:pPr>
        <w:pStyle w:val="Heading2"/>
      </w:pPr>
      <w:r>
        <w:t>3.2 이동 모델 파라미터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파라미터</w:t>
            </w:r>
          </w:p>
        </w:tc>
        <w:tc>
          <w:tcPr>
            <w:tcW w:type="dxa" w:w="2160"/>
          </w:tcPr>
          <w:p>
            <w:pPr>
              <w:jc w:val="center"/>
            </w:pPr>
            <w:r>
              <w:rPr>
                <w:b/>
                <w:sz w:val="18"/>
              </w:rPr>
              <w:t>기호</w:t>
            </w:r>
          </w:p>
        </w:tc>
        <w:tc>
          <w:tcPr>
            <w:tcW w:type="dxa" w:w="2160"/>
          </w:tcPr>
          <w:p>
            <w:pPr>
              <w:jc w:val="center"/>
            </w:pPr>
            <w:r>
              <w:rPr>
                <w:b/>
                <w:sz w:val="18"/>
              </w:rPr>
              <w:t>설정값</w:t>
            </w:r>
          </w:p>
        </w:tc>
        <w:tc>
          <w:tcPr>
            <w:tcW w:type="dxa" w:w="2160"/>
          </w:tcPr>
          <w:p>
            <w:pPr>
              <w:jc w:val="center"/>
            </w:pPr>
            <w:r>
              <w:rPr>
                <w:b/>
                <w:sz w:val="18"/>
              </w:rPr>
              <w:t>출처</w:t>
            </w:r>
          </w:p>
        </w:tc>
      </w:tr>
      <w:tr>
        <w:tc>
          <w:tcPr>
            <w:tcW w:type="dxa" w:w="2160"/>
          </w:tcPr>
          <w:p>
            <w:pPr>
              <w:jc w:val="center"/>
            </w:pPr>
            <w:r>
              <w:rPr>
                <w:sz w:val="18"/>
              </w:rPr>
              <w:t>시간 간격 (일반)</w:t>
            </w:r>
          </w:p>
        </w:tc>
        <w:tc>
          <w:tcPr>
            <w:tcW w:type="dxa" w:w="2160"/>
          </w:tcPr>
          <w:p>
            <w:pPr>
              <w:jc w:val="center"/>
            </w:pPr>
            <w:r>
              <w:rPr>
                <w:sz w:val="18"/>
              </w:rPr>
              <w:t>T</w:t>
            </w:r>
          </w:p>
        </w:tc>
        <w:tc>
          <w:tcPr>
            <w:tcW w:type="dxa" w:w="2160"/>
          </w:tcPr>
          <w:p>
            <w:pPr>
              <w:jc w:val="center"/>
            </w:pPr>
            <w:r>
              <w:rPr>
                <w:sz w:val="18"/>
              </w:rPr>
              <w:t>1.06 s</w:t>
            </w:r>
          </w:p>
        </w:tc>
        <w:tc>
          <w:tcPr>
            <w:tcW w:type="dxa" w:w="2160"/>
          </w:tcPr>
          <w:p>
            <w:pPr>
              <w:jc w:val="center"/>
            </w:pPr>
            <w:r>
              <w:rPr>
                <w:sz w:val="18"/>
              </w:rPr>
              <w:t>Tordeux et al. (2016)</w:t>
            </w:r>
          </w:p>
        </w:tc>
      </w:tr>
      <w:tr>
        <w:tc>
          <w:tcPr>
            <w:tcW w:type="dxa" w:w="2160"/>
          </w:tcPr>
          <w:p>
            <w:pPr>
              <w:jc w:val="center"/>
            </w:pPr>
            <w:r>
              <w:rPr>
                <w:sz w:val="18"/>
              </w:rPr>
              <w:t>시간 간격 (대기열)</w:t>
            </w:r>
          </w:p>
        </w:tc>
        <w:tc>
          <w:tcPr>
            <w:tcW w:type="dxa" w:w="2160"/>
          </w:tcPr>
          <w:p>
            <w:pPr>
              <w:jc w:val="center"/>
            </w:pPr>
            <w:r>
              <w:rPr>
                <w:sz w:val="18"/>
              </w:rPr>
              <w:t>T_q</w:t>
            </w:r>
          </w:p>
        </w:tc>
        <w:tc>
          <w:tcPr>
            <w:tcW w:type="dxa" w:w="2160"/>
          </w:tcPr>
          <w:p>
            <w:pPr>
              <w:jc w:val="center"/>
            </w:pPr>
            <w:r>
              <w:rPr>
                <w:sz w:val="18"/>
              </w:rPr>
              <w:t>0.50 s</w:t>
            </w:r>
          </w:p>
        </w:tc>
        <w:tc>
          <w:tcPr>
            <w:tcW w:type="dxa" w:w="2160"/>
          </w:tcPr>
          <w:p>
            <w:pPr>
              <w:jc w:val="center"/>
            </w:pPr>
            <w:r>
              <w:rPr>
                <w:sz w:val="18"/>
              </w:rPr>
              <w:t>본 연구 설정</w:t>
            </w:r>
          </w:p>
        </w:tc>
      </w:tr>
      <w:tr>
        <w:tc>
          <w:tcPr>
            <w:tcW w:type="dxa" w:w="2160"/>
          </w:tcPr>
          <w:p>
            <w:pPr>
              <w:jc w:val="center"/>
            </w:pPr>
            <w:r>
              <w:rPr>
                <w:sz w:val="18"/>
              </w:rPr>
              <w:t>이웃 반발 강도</w:t>
            </w:r>
          </w:p>
        </w:tc>
        <w:tc>
          <w:tcPr>
            <w:tcW w:type="dxa" w:w="2160"/>
          </w:tcPr>
          <w:p>
            <w:pPr>
              <w:jc w:val="center"/>
            </w:pPr>
            <w:r>
              <w:rPr>
                <w:sz w:val="18"/>
              </w:rPr>
              <w:t>aₙ</w:t>
            </w:r>
          </w:p>
        </w:tc>
        <w:tc>
          <w:tcPr>
            <w:tcW w:type="dxa" w:w="2160"/>
          </w:tcPr>
          <w:p>
            <w:pPr>
              <w:jc w:val="center"/>
            </w:pPr>
            <w:r>
              <w:rPr>
                <w:sz w:val="18"/>
              </w:rPr>
              <w:t>8.0</w:t>
            </w:r>
          </w:p>
        </w:tc>
        <w:tc>
          <w:tcPr>
            <w:tcW w:type="dxa" w:w="2160"/>
          </w:tcPr>
          <w:p>
            <w:pPr>
              <w:jc w:val="center"/>
            </w:pPr>
            <w:r>
              <w:rPr>
                <w:sz w:val="18"/>
              </w:rPr>
              <w:t>Tordeux et al. (2016)</w:t>
            </w:r>
          </w:p>
        </w:tc>
      </w:tr>
      <w:tr>
        <w:tc>
          <w:tcPr>
            <w:tcW w:type="dxa" w:w="2160"/>
          </w:tcPr>
          <w:p>
            <w:pPr>
              <w:jc w:val="center"/>
            </w:pPr>
            <w:r>
              <w:rPr>
                <w:sz w:val="18"/>
              </w:rPr>
              <w:t>이웃 반발 범위</w:t>
            </w:r>
          </w:p>
        </w:tc>
        <w:tc>
          <w:tcPr>
            <w:tcW w:type="dxa" w:w="2160"/>
          </w:tcPr>
          <w:p>
            <w:pPr>
              <w:jc w:val="center"/>
            </w:pPr>
            <w:r>
              <w:rPr>
                <w:sz w:val="18"/>
              </w:rPr>
              <w:t>Dₙ</w:t>
            </w:r>
          </w:p>
        </w:tc>
        <w:tc>
          <w:tcPr>
            <w:tcW w:type="dxa" w:w="2160"/>
          </w:tcPr>
          <w:p>
            <w:pPr>
              <w:jc w:val="center"/>
            </w:pPr>
            <w:r>
              <w:rPr>
                <w:sz w:val="18"/>
              </w:rPr>
              <w:t>0.1 m</w:t>
            </w:r>
          </w:p>
        </w:tc>
        <w:tc>
          <w:tcPr>
            <w:tcW w:type="dxa" w:w="2160"/>
          </w:tcPr>
          <w:p>
            <w:pPr>
              <w:jc w:val="center"/>
            </w:pPr>
            <w:r>
              <w:rPr>
                <w:sz w:val="18"/>
              </w:rPr>
              <w:t>Tordeux et al. (2016)</w:t>
            </w:r>
          </w:p>
        </w:tc>
      </w:tr>
      <w:tr>
        <w:tc>
          <w:tcPr>
            <w:tcW w:type="dxa" w:w="2160"/>
          </w:tcPr>
          <w:p>
            <w:pPr>
              <w:jc w:val="center"/>
            </w:pPr>
            <w:r>
              <w:rPr>
                <w:sz w:val="18"/>
              </w:rPr>
              <w:t>벽면 반발 강도</w:t>
            </w:r>
          </w:p>
        </w:tc>
        <w:tc>
          <w:tcPr>
            <w:tcW w:type="dxa" w:w="2160"/>
          </w:tcPr>
          <w:p>
            <w:pPr>
              <w:jc w:val="center"/>
            </w:pPr>
            <w:r>
              <w:rPr>
                <w:sz w:val="18"/>
              </w:rPr>
              <w:t>ag</w:t>
            </w:r>
          </w:p>
        </w:tc>
        <w:tc>
          <w:tcPr>
            <w:tcW w:type="dxa" w:w="2160"/>
          </w:tcPr>
          <w:p>
            <w:pPr>
              <w:jc w:val="center"/>
            </w:pPr>
            <w:r>
              <w:rPr>
                <w:sz w:val="18"/>
              </w:rPr>
              <w:t>5.0</w:t>
            </w:r>
          </w:p>
        </w:tc>
        <w:tc>
          <w:tcPr>
            <w:tcW w:type="dxa" w:w="2160"/>
          </w:tcPr>
          <w:p>
            <w:pPr>
              <w:jc w:val="center"/>
            </w:pPr>
            <w:r>
              <w:rPr>
                <w:sz w:val="18"/>
              </w:rPr>
              <w:t>Tordeux et al. (2016)</w:t>
            </w:r>
          </w:p>
        </w:tc>
      </w:tr>
      <w:tr>
        <w:tc>
          <w:tcPr>
            <w:tcW w:type="dxa" w:w="2160"/>
          </w:tcPr>
          <w:p>
            <w:pPr>
              <w:jc w:val="center"/>
            </w:pPr>
            <w:r>
              <w:rPr>
                <w:sz w:val="18"/>
              </w:rPr>
              <w:t>벽면 반발 범위</w:t>
            </w:r>
          </w:p>
        </w:tc>
        <w:tc>
          <w:tcPr>
            <w:tcW w:type="dxa" w:w="2160"/>
          </w:tcPr>
          <w:p>
            <w:pPr>
              <w:jc w:val="center"/>
            </w:pPr>
            <w:r>
              <w:rPr>
                <w:sz w:val="18"/>
              </w:rPr>
              <w:t>Dg</w:t>
            </w:r>
          </w:p>
        </w:tc>
        <w:tc>
          <w:tcPr>
            <w:tcW w:type="dxa" w:w="2160"/>
          </w:tcPr>
          <w:p>
            <w:pPr>
              <w:jc w:val="center"/>
            </w:pPr>
            <w:r>
              <w:rPr>
                <w:sz w:val="18"/>
              </w:rPr>
              <w:t>0.02 m</w:t>
            </w:r>
          </w:p>
        </w:tc>
        <w:tc>
          <w:tcPr>
            <w:tcW w:type="dxa" w:w="2160"/>
          </w:tcPr>
          <w:p>
            <w:pPr>
              <w:jc w:val="center"/>
            </w:pPr>
            <w:r>
              <w:rPr>
                <w:sz w:val="18"/>
              </w:rPr>
              <w:t>Tordeux et al. (2016)</w:t>
            </w:r>
          </w:p>
        </w:tc>
      </w:tr>
    </w:tbl>
    <w:p/>
    <w:p>
      <w:r>
        <w:t>시간 간격(time gap) T = 1.06s는 Tordeux et al.(2016)이 보행자 추종(follow-the-leader) 실험 데이터에서 속도-간격 간의 선형 관계를 분석하여 도출한 경험적 값이다. 이는 보행자가 전방 보행자와 안전 거리를 유지하기 위한 최소 시간 간격을 의미한다.</w:t>
      </w:r>
    </w:p>
    <w:p>
      <w:r>
        <w:t>대기열 시간 간격 T_q = 0.50s는 게이트 앞 대기열에서 보행자가 일반 보행 시보다 전방 보행자에 바짝 붙어 서는 심리를 반영한 본 연구의 설정값이다.</w:t>
      </w:r>
    </w:p>
    <w:p>
      <w:r>
        <w:t>이웃 반발 강도 aₙ = 8.0, 범위 Dₙ = 0.1m는 반발 함수 R(s) = 8.0 × exp((l − s) / 0.1)로, 이웃 보행자가 10cm 이내로 접근할 때 반발이 급격히 증가하는 특성을 가진다. Tordeux et al.(2016) 원논문에서 실험 데이터 기반으로 캘리브레이션된 값이다.</w:t>
      </w:r>
    </w:p>
    <w:p>
      <w:r>
        <w:t>벽면 반발 강도 ag = 5.0, 범위 Dg = 0.02m는 벽면 2cm 이내에서 강한 반발이 작용하도록 설정된 값으로, 보행자가 벽면에 밀착하지 않는 현실적 행태를 반영한다.</w:t>
      </w:r>
    </w:p>
    <w:p>
      <w:pPr>
        <w:pStyle w:val="Heading2"/>
      </w:pPr>
      <w:r>
        <w:t>3.3 게이트 선택 의사결정 파라미터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파라미터</w:t>
            </w:r>
          </w:p>
        </w:tc>
        <w:tc>
          <w:tcPr>
            <w:tcW w:type="dxa" w:w="2160"/>
          </w:tcPr>
          <w:p>
            <w:pPr>
              <w:jc w:val="center"/>
            </w:pPr>
            <w:r>
              <w:rPr>
                <w:b/>
                <w:sz w:val="18"/>
              </w:rPr>
              <w:t>기호</w:t>
            </w:r>
          </w:p>
        </w:tc>
        <w:tc>
          <w:tcPr>
            <w:tcW w:type="dxa" w:w="2160"/>
          </w:tcPr>
          <w:p>
            <w:pPr>
              <w:jc w:val="center"/>
            </w:pPr>
            <w:r>
              <w:rPr>
                <w:b/>
                <w:sz w:val="18"/>
              </w:rPr>
              <w:t>설정값</w:t>
            </w:r>
          </w:p>
        </w:tc>
        <w:tc>
          <w:tcPr>
            <w:tcW w:type="dxa" w:w="2160"/>
          </w:tcPr>
          <w:p>
            <w:pPr>
              <w:jc w:val="center"/>
            </w:pPr>
            <w:r>
              <w:rPr>
                <w:b/>
                <w:sz w:val="18"/>
              </w:rPr>
              <w:t>출처</w:t>
            </w:r>
          </w:p>
        </w:tc>
      </w:tr>
      <w:tr>
        <w:tc>
          <w:tcPr>
            <w:tcW w:type="dxa" w:w="2160"/>
          </w:tcPr>
          <w:p>
            <w:pPr>
              <w:jc w:val="center"/>
            </w:pPr>
            <w:r>
              <w:rPr>
                <w:sz w:val="18"/>
              </w:rPr>
              <w:t>거리 민감도</w:t>
            </w:r>
          </w:p>
        </w:tc>
        <w:tc>
          <w:tcPr>
            <w:tcW w:type="dxa" w:w="2160"/>
          </w:tcPr>
          <w:p>
            <w:pPr>
              <w:jc w:val="center"/>
            </w:pPr>
            <w:r>
              <w:rPr>
                <w:sz w:val="18"/>
              </w:rPr>
              <w:t>β_dist</w:t>
            </w:r>
          </w:p>
        </w:tc>
        <w:tc>
          <w:tcPr>
            <w:tcW w:type="dxa" w:w="2160"/>
          </w:tcPr>
          <w:p>
            <w:pPr>
              <w:jc w:val="center"/>
            </w:pPr>
            <w:r>
              <w:rPr>
                <w:sz w:val="18"/>
              </w:rPr>
              <w:t>-0.25</w:t>
            </w:r>
          </w:p>
        </w:tc>
        <w:tc>
          <w:tcPr>
            <w:tcW w:type="dxa" w:w="2160"/>
          </w:tcPr>
          <w:p>
            <w:pPr>
              <w:jc w:val="center"/>
            </w:pPr>
            <w:r>
              <w:rPr>
                <w:sz w:val="18"/>
              </w:rPr>
              <w:t>Haghani &amp; Sarvi (2017) 범위 내</w:t>
            </w:r>
          </w:p>
        </w:tc>
      </w:tr>
      <w:tr>
        <w:tc>
          <w:tcPr>
            <w:tcW w:type="dxa" w:w="2160"/>
          </w:tcPr>
          <w:p>
            <w:pPr>
              <w:jc w:val="center"/>
            </w:pPr>
            <w:r>
              <w:rPr>
                <w:sz w:val="18"/>
              </w:rPr>
              <w:t>대기열 민감도</w:t>
            </w:r>
          </w:p>
        </w:tc>
        <w:tc>
          <w:tcPr>
            <w:tcW w:type="dxa" w:w="2160"/>
          </w:tcPr>
          <w:p>
            <w:pPr>
              <w:jc w:val="center"/>
            </w:pPr>
            <w:r>
              <w:rPr>
                <w:sz w:val="18"/>
              </w:rPr>
              <w:t>β_queue</w:t>
            </w:r>
          </w:p>
        </w:tc>
        <w:tc>
          <w:tcPr>
            <w:tcW w:type="dxa" w:w="2160"/>
          </w:tcPr>
          <w:p>
            <w:pPr>
              <w:jc w:val="center"/>
            </w:pPr>
            <w:r>
              <w:rPr>
                <w:sz w:val="18"/>
              </w:rPr>
              <w:t>-0.30</w:t>
            </w:r>
          </w:p>
        </w:tc>
        <w:tc>
          <w:tcPr>
            <w:tcW w:type="dxa" w:w="2160"/>
          </w:tcPr>
          <w:p>
            <w:pPr>
              <w:jc w:val="center"/>
            </w:pPr>
            <w:r>
              <w:rPr>
                <w:sz w:val="18"/>
              </w:rPr>
              <w:t>Haghani &amp; Sarvi (2017) 범위 내</w:t>
            </w:r>
          </w:p>
        </w:tc>
      </w:tr>
      <w:tr>
        <w:tc>
          <w:tcPr>
            <w:tcW w:type="dxa" w:w="2160"/>
          </w:tcPr>
          <w:p>
            <w:pPr>
              <w:jc w:val="center"/>
            </w:pPr>
            <w:r>
              <w:rPr>
                <w:sz w:val="18"/>
              </w:rPr>
              <w:t>시야 반경</w:t>
            </w:r>
          </w:p>
        </w:tc>
        <w:tc>
          <w:tcPr>
            <w:tcW w:type="dxa" w:w="2160"/>
          </w:tcPr>
          <w:p>
            <w:pPr>
              <w:jc w:val="center"/>
            </w:pPr>
            <w:r>
              <w:rPr>
                <w:sz w:val="18"/>
              </w:rPr>
              <w:t>R_v</w:t>
            </w:r>
          </w:p>
        </w:tc>
        <w:tc>
          <w:tcPr>
            <w:tcW w:type="dxa" w:w="2160"/>
          </w:tcPr>
          <w:p>
            <w:pPr>
              <w:jc w:val="center"/>
            </w:pPr>
            <w:r>
              <w:rPr>
                <w:sz w:val="18"/>
              </w:rPr>
              <w:t>8.0 m</w:t>
            </w:r>
          </w:p>
        </w:tc>
        <w:tc>
          <w:tcPr>
            <w:tcW w:type="dxa" w:w="2160"/>
          </w:tcPr>
          <w:p>
            <w:pPr>
              <w:jc w:val="center"/>
            </w:pPr>
            <w:r>
              <w:rPr>
                <w:sz w:val="18"/>
              </w:rPr>
              <w:t>본 연구 설정</w:t>
            </w:r>
          </w:p>
        </w:tc>
      </w:tr>
      <w:tr>
        <w:tc>
          <w:tcPr>
            <w:tcW w:type="dxa" w:w="2160"/>
          </w:tcPr>
          <w:p>
            <w:pPr>
              <w:jc w:val="center"/>
            </w:pPr>
            <w:r>
              <w:rPr>
                <w:sz w:val="18"/>
              </w:rPr>
              <w:t>전환 비용 (관성)</w:t>
            </w:r>
          </w:p>
        </w:tc>
        <w:tc>
          <w:tcPr>
            <w:tcW w:type="dxa" w:w="2160"/>
          </w:tcPr>
          <w:p>
            <w:pPr>
              <w:jc w:val="center"/>
            </w:pPr>
            <w:r>
              <w:rPr>
                <w:sz w:val="18"/>
              </w:rPr>
              <w:t>C_switch</w:t>
            </w:r>
          </w:p>
        </w:tc>
        <w:tc>
          <w:tcPr>
            <w:tcW w:type="dxa" w:w="2160"/>
          </w:tcPr>
          <w:p>
            <w:pPr>
              <w:jc w:val="center"/>
            </w:pPr>
            <w:r>
              <w:rPr>
                <w:sz w:val="18"/>
              </w:rPr>
              <w:t>1.5</w:t>
            </w:r>
          </w:p>
        </w:tc>
        <w:tc>
          <w:tcPr>
            <w:tcW w:type="dxa" w:w="2160"/>
          </w:tcPr>
          <w:p>
            <w:pPr>
              <w:jc w:val="center"/>
            </w:pPr>
            <w:r>
              <w:rPr>
                <w:sz w:val="18"/>
              </w:rPr>
              <w:t>본 연구 설정</w:t>
            </w:r>
          </w:p>
        </w:tc>
      </w:tr>
      <w:tr>
        <w:tc>
          <w:tcPr>
            <w:tcW w:type="dxa" w:w="2160"/>
          </w:tcPr>
          <w:p>
            <w:pPr>
              <w:jc w:val="center"/>
            </w:pPr>
            <w:r>
              <w:rPr>
                <w:sz w:val="18"/>
              </w:rPr>
              <w:t>Lock-in 거리</w:t>
            </w:r>
          </w:p>
        </w:tc>
        <w:tc>
          <w:tcPr>
            <w:tcW w:type="dxa" w:w="2160"/>
          </w:tcPr>
          <w:p>
            <w:pPr>
              <w:jc w:val="center"/>
            </w:pPr>
            <w:r>
              <w:rPr>
                <w:sz w:val="18"/>
              </w:rPr>
              <w:t>d_lock</w:t>
            </w:r>
          </w:p>
        </w:tc>
        <w:tc>
          <w:tcPr>
            <w:tcW w:type="dxa" w:w="2160"/>
          </w:tcPr>
          <w:p>
            <w:pPr>
              <w:jc w:val="center"/>
            </w:pPr>
            <w:r>
              <w:rPr>
                <w:sz w:val="18"/>
              </w:rPr>
              <w:t>3.0 m</w:t>
            </w:r>
          </w:p>
        </w:tc>
        <w:tc>
          <w:tcPr>
            <w:tcW w:type="dxa" w:w="2160"/>
          </w:tcPr>
          <w:p>
            <w:pPr>
              <w:jc w:val="center"/>
            </w:pPr>
            <w:r>
              <w:rPr>
                <w:sz w:val="18"/>
              </w:rPr>
              <w:t>본 연구 설정</w:t>
            </w:r>
          </w:p>
        </w:tc>
      </w:tr>
      <w:tr>
        <w:tc>
          <w:tcPr>
            <w:tcW w:type="dxa" w:w="2160"/>
          </w:tcPr>
          <w:p>
            <w:pPr>
              <w:jc w:val="center"/>
            </w:pPr>
            <w:r>
              <w:rPr>
                <w:sz w:val="18"/>
              </w:rPr>
              <w:t>재평가 주기</w:t>
            </w:r>
          </w:p>
        </w:tc>
        <w:tc>
          <w:tcPr>
            <w:tcW w:type="dxa" w:w="2160"/>
          </w:tcPr>
          <w:p>
            <w:pPr>
              <w:jc w:val="center"/>
            </w:pPr>
            <w:r>
              <w:rPr>
                <w:sz w:val="18"/>
              </w:rPr>
              <w:t>Δt_re</w:t>
            </w:r>
          </w:p>
        </w:tc>
        <w:tc>
          <w:tcPr>
            <w:tcW w:type="dxa" w:w="2160"/>
          </w:tcPr>
          <w:p>
            <w:pPr>
              <w:jc w:val="center"/>
            </w:pPr>
            <w:r>
              <w:rPr>
                <w:sz w:val="18"/>
              </w:rPr>
              <w:t>3.0 s</w:t>
            </w:r>
          </w:p>
        </w:tc>
        <w:tc>
          <w:tcPr>
            <w:tcW w:type="dxa" w:w="2160"/>
          </w:tcPr>
          <w:p>
            <w:pPr>
              <w:jc w:val="center"/>
            </w:pPr>
            <w:r>
              <w:rPr>
                <w:sz w:val="18"/>
              </w:rPr>
              <w:t>본 연구 설정</w:t>
            </w:r>
          </w:p>
        </w:tc>
      </w:tr>
    </w:tbl>
    <w:p/>
    <w:p>
      <w:r>
        <w:rPr>
          <w:b/>
        </w:rPr>
        <w:t>게이트 선택 효용함수:</w:t>
      </w:r>
    </w:p>
    <w:p>
      <w:pPr>
        <w:jc w:val="center"/>
      </w:pPr>
      <w:r>
        <w:rPr>
          <w:rFonts w:ascii="Cambria Math" w:hAnsi="Cambria Math"/>
          <w:sz w:val="22"/>
        </w:rPr>
        <w:t>U(i) = β_dist × dᵢ + β_queue × qᵢ</w:t>
      </w:r>
    </w:p>
    <w:p>
      <w:pPr>
        <w:pStyle w:val="ListBullet"/>
      </w:pPr>
      <w:r>
        <w:t>dᵢ : 보행자에서 게이트 i까지의 유클리드 거리 (m)</w:t>
      </w:r>
    </w:p>
    <w:p>
      <w:pPr>
        <w:pStyle w:val="ListBullet"/>
      </w:pPr>
      <w:r>
        <w:t>qᵢ : 게이트 i에 배정된 현재 대기 인원 (명)</w:t>
      </w:r>
    </w:p>
    <w:p>
      <w:r>
        <w:t>Haghani &amp; Sarvi(2017)는 멜버른 주요 철도역에서 승객 면접 조사(stated preference) 및 현장 관측(revealed preference) 데이터를 기반으로 혼합 네스티드 로짓 모델(Mixed Nested Logit Model)을 추정하였다. 출구 선택에 영향을 미치는 주요 요인으로 공간적 거리(distance)와 혼잡도(congestion/queue)를 확인하였으며, 본 연구의 β_dist = -0.25, β_queue = -0.30은 해당 연구에서 보고된 파라미터 범위(β_dist: -0.21 ~ -0.31, β_queue: -0.14 ~ -0.60) 내의 값이다.</w:t>
      </w:r>
    </w:p>
    <w:p>
      <w:r>
        <w:rPr>
          <w:b/>
        </w:rPr>
        <w:t>다단계 의사결정 모델:</w:t>
      </w:r>
    </w:p>
    <w:p>
      <w:r>
        <w:t>게이트 선택 후 비현실적인 핑퐁 효과(반복적 경로 변경)를 방지하기 위해 다음 세 가지 메커니즘을 적용한다.</w:t>
      </w:r>
    </w:p>
    <w:p>
      <w:pPr>
        <w:pStyle w:val="ListNumber"/>
      </w:pPr>
      <w:r>
        <w:t>관성(Inertia): 새 게이트의 효용이 현재 게이트 효용 + 전환 비용(C_switch = 1.5)을 초과해야 경로 변경을 실행한다.</w:t>
      </w:r>
    </w:p>
    <w:p>
      <w:pPr>
        <w:pStyle w:val="ListNumber"/>
      </w:pPr>
      <w:r>
        <w:t>Lock-in: 게이트까지 거리가 3.0m 이내이면 경로 변경을 비활성화한다.</w:t>
      </w:r>
    </w:p>
    <w:p>
      <w:pPr>
        <w:pStyle w:val="ListNumber"/>
      </w:pPr>
      <w:r>
        <w:t>재평가 주기: 경로 재평가를 3.0초 간격으로 제한하여 과도한 경로 변경을 방지한다.</w:t>
      </w:r>
    </w:p>
    <w:p>
      <w:pPr>
        <w:pStyle w:val="Heading2"/>
      </w:pPr>
      <w:r>
        <w:t>3.4 서비스 시간 파라미터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유형</w:t>
            </w:r>
          </w:p>
        </w:tc>
        <w:tc>
          <w:tcPr>
            <w:tcW w:type="dxa" w:w="1728"/>
          </w:tcPr>
          <w:p>
            <w:pPr>
              <w:jc w:val="center"/>
            </w:pPr>
            <w:r>
              <w:rPr>
                <w:b/>
                <w:sz w:val="18"/>
              </w:rPr>
              <w:t>분포</w:t>
            </w:r>
          </w:p>
        </w:tc>
        <w:tc>
          <w:tcPr>
            <w:tcW w:type="dxa" w:w="1728"/>
          </w:tcPr>
          <w:p>
            <w:pPr>
              <w:jc w:val="center"/>
            </w:pPr>
            <w:r>
              <w:rPr>
                <w:b/>
                <w:sz w:val="18"/>
              </w:rPr>
              <w:t>파라미터</w:t>
            </w:r>
          </w:p>
        </w:tc>
        <w:tc>
          <w:tcPr>
            <w:tcW w:type="dxa" w:w="1728"/>
          </w:tcPr>
          <w:p>
            <w:pPr>
              <w:jc w:val="center"/>
            </w:pPr>
            <w:r>
              <w:rPr>
                <w:b/>
                <w:sz w:val="18"/>
              </w:rPr>
              <w:t>범위</w:t>
            </w:r>
          </w:p>
        </w:tc>
        <w:tc>
          <w:tcPr>
            <w:tcW w:type="dxa" w:w="1728"/>
          </w:tcPr>
          <w:p>
            <w:pPr>
              <w:jc w:val="center"/>
            </w:pPr>
            <w:r>
              <w:rPr>
                <w:b/>
                <w:sz w:val="18"/>
              </w:rPr>
              <w:t>비고</w:t>
            </w:r>
          </w:p>
        </w:tc>
      </w:tr>
      <w:tr>
        <w:tc>
          <w:tcPr>
            <w:tcW w:type="dxa" w:w="1728"/>
          </w:tcPr>
          <w:p>
            <w:pPr>
              <w:jc w:val="center"/>
            </w:pPr>
            <w:r>
              <w:rPr>
                <w:sz w:val="18"/>
              </w:rPr>
              <w:t>태그 (교통카드)</w:t>
            </w:r>
          </w:p>
        </w:tc>
        <w:tc>
          <w:tcPr>
            <w:tcW w:type="dxa" w:w="1728"/>
          </w:tcPr>
          <w:p>
            <w:pPr>
              <w:jc w:val="center"/>
            </w:pPr>
            <w:r>
              <w:rPr>
                <w:sz w:val="18"/>
              </w:rPr>
              <w:t>로그정규분포</w:t>
            </w:r>
          </w:p>
        </w:tc>
        <w:tc>
          <w:tcPr>
            <w:tcW w:type="dxa" w:w="1728"/>
          </w:tcPr>
          <w:p>
            <w:pPr>
              <w:jc w:val="center"/>
            </w:pPr>
            <w:r>
              <w:rPr>
                <w:sz w:val="18"/>
              </w:rPr>
              <w:t>μ=0.35, σ=0.35</w:t>
            </w:r>
          </w:p>
        </w:tc>
        <w:tc>
          <w:tcPr>
            <w:tcW w:type="dxa" w:w="1728"/>
          </w:tcPr>
          <w:p>
            <w:pPr>
              <w:jc w:val="center"/>
            </w:pPr>
            <w:r>
              <w:rPr>
                <w:sz w:val="18"/>
              </w:rPr>
              <w:t>0.8~5.0초</w:t>
            </w:r>
          </w:p>
        </w:tc>
        <w:tc>
          <w:tcPr>
            <w:tcW w:type="dxa" w:w="1728"/>
          </w:tcPr>
          <w:p>
            <w:pPr>
              <w:jc w:val="center"/>
            </w:pPr>
            <w:r>
              <w:rPr>
                <w:sz w:val="18"/>
              </w:rPr>
              <w:t>접근+태핑+통과</w:t>
            </w:r>
          </w:p>
        </w:tc>
      </w:tr>
      <w:tr>
        <w:tc>
          <w:tcPr>
            <w:tcW w:type="dxa" w:w="1728"/>
          </w:tcPr>
          <w:p>
            <w:pPr>
              <w:jc w:val="center"/>
            </w:pPr>
            <w:r>
              <w:rPr>
                <w:sz w:val="18"/>
              </w:rPr>
              <w:t>태그리스</w:t>
            </w:r>
          </w:p>
        </w:tc>
        <w:tc>
          <w:tcPr>
            <w:tcW w:type="dxa" w:w="1728"/>
          </w:tcPr>
          <w:p>
            <w:pPr>
              <w:jc w:val="center"/>
            </w:pPr>
            <w:r>
              <w:rPr>
                <w:sz w:val="18"/>
              </w:rPr>
              <w:t>-</w:t>
            </w:r>
          </w:p>
        </w:tc>
        <w:tc>
          <w:tcPr>
            <w:tcW w:type="dxa" w:w="1728"/>
          </w:tcPr>
          <w:p>
            <w:pPr>
              <w:jc w:val="center"/>
            </w:pPr>
            <w:r>
              <w:rPr>
                <w:sz w:val="18"/>
              </w:rPr>
              <w:t>~0초</w:t>
            </w:r>
          </w:p>
        </w:tc>
        <w:tc>
          <w:tcPr>
            <w:tcW w:type="dxa" w:w="1728"/>
          </w:tcPr>
          <w:p>
            <w:pPr>
              <w:jc w:val="center"/>
            </w:pPr>
            <w:r>
              <w:rPr>
                <w:sz w:val="18"/>
              </w:rPr>
              <w:t>0~0.3초</w:t>
            </w:r>
          </w:p>
        </w:tc>
        <w:tc>
          <w:tcPr>
            <w:tcW w:type="dxa" w:w="1728"/>
          </w:tcPr>
          <w:p>
            <w:pPr>
              <w:jc w:val="center"/>
            </w:pPr>
            <w:r>
              <w:rPr>
                <w:sz w:val="18"/>
              </w:rPr>
              <w:t>무정지 통과</w:t>
            </w:r>
          </w:p>
        </w:tc>
      </w:tr>
    </w:tbl>
    <w:p/>
    <w:p>
      <w:r>
        <w:t>태그 사용자의 서비스 시간은 로그정규분포로 모델링하였다. 로그정규분포는 서비스 시간의 비대칭성(대부분 빠르게 통과하나, 소수가 카드 인식 실패 등으로 지체)을 반영하는 데 적합하다. 하한(0.8초)은 카드 태핑의 최소 물리적 시간, 상한(5.0초)은 카드 인식 실패나 잔액 부족 등 이상 상황을 반영한다.</w:t>
      </w:r>
    </w:p>
    <w:p>
      <w:pPr>
        <w:pStyle w:val="Heading2"/>
      </w:pPr>
      <w:r>
        <w:t>3.5 도착 모델 파라미터</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파라미터</w:t>
            </w:r>
          </w:p>
        </w:tc>
        <w:tc>
          <w:tcPr>
            <w:tcW w:type="dxa" w:w="2880"/>
          </w:tcPr>
          <w:p>
            <w:pPr>
              <w:jc w:val="center"/>
            </w:pPr>
            <w:r>
              <w:rPr>
                <w:b/>
                <w:sz w:val="18"/>
              </w:rPr>
              <w:t>설정값</w:t>
            </w:r>
          </w:p>
        </w:tc>
        <w:tc>
          <w:tcPr>
            <w:tcW w:type="dxa" w:w="2880"/>
          </w:tcPr>
          <w:p>
            <w:pPr>
              <w:jc w:val="center"/>
            </w:pPr>
            <w:r>
              <w:rPr>
                <w:b/>
                <w:sz w:val="18"/>
              </w:rPr>
              <w:t>근거</w:t>
            </w:r>
          </w:p>
        </w:tc>
      </w:tr>
      <w:tr>
        <w:tc>
          <w:tcPr>
            <w:tcW w:type="dxa" w:w="2880"/>
          </w:tcPr>
          <w:p>
            <w:pPr>
              <w:jc w:val="center"/>
            </w:pPr>
            <w:r>
              <w:rPr>
                <w:sz w:val="18"/>
              </w:rPr>
              <w:t>열차 도착 간격</w:t>
            </w:r>
          </w:p>
        </w:tc>
        <w:tc>
          <w:tcPr>
            <w:tcW w:type="dxa" w:w="2880"/>
          </w:tcPr>
          <w:p>
            <w:pPr>
              <w:jc w:val="center"/>
            </w:pPr>
            <w:r>
              <w:rPr>
                <w:sz w:val="18"/>
              </w:rPr>
              <w:t>180초</w:t>
            </w:r>
          </w:p>
        </w:tc>
        <w:tc>
          <w:tcPr>
            <w:tcW w:type="dxa" w:w="2880"/>
          </w:tcPr>
          <w:p>
            <w:pPr>
              <w:jc w:val="center"/>
            </w:pPr>
            <w:r>
              <w:rPr>
                <w:sz w:val="18"/>
              </w:rPr>
              <w:t>서울 2호선 피크시 배차 간격 (~2.5~3분)</w:t>
            </w:r>
          </w:p>
        </w:tc>
      </w:tr>
      <w:tr>
        <w:tc>
          <w:tcPr>
            <w:tcW w:type="dxa" w:w="2880"/>
          </w:tcPr>
          <w:p>
            <w:pPr>
              <w:jc w:val="center"/>
            </w:pPr>
            <w:r>
              <w:rPr>
                <w:sz w:val="18"/>
              </w:rPr>
              <w:t>1회 하차 인원</w:t>
            </w:r>
          </w:p>
        </w:tc>
        <w:tc>
          <w:tcPr>
            <w:tcW w:type="dxa" w:w="2880"/>
          </w:tcPr>
          <w:p>
            <w:pPr>
              <w:jc w:val="center"/>
            </w:pPr>
            <w:r>
              <w:rPr>
                <w:sz w:val="18"/>
              </w:rPr>
              <w:t>Poisson(λ=40)</w:t>
            </w:r>
          </w:p>
        </w:tc>
        <w:tc>
          <w:tcPr>
            <w:tcW w:type="dxa" w:w="2880"/>
          </w:tcPr>
          <w:p>
            <w:pPr>
              <w:jc w:val="center"/>
            </w:pPr>
            <w:r>
              <w:rPr>
                <w:sz w:val="18"/>
              </w:rPr>
              <w:t>서쪽 계단 이용분 추정</w:t>
            </w:r>
          </w:p>
        </w:tc>
      </w:tr>
      <w:tr>
        <w:tc>
          <w:tcPr>
            <w:tcW w:type="dxa" w:w="2880"/>
          </w:tcPr>
          <w:p>
            <w:pPr>
              <w:jc w:val="center"/>
            </w:pPr>
            <w:r>
              <w:rPr>
                <w:sz w:val="18"/>
              </w:rPr>
              <w:t>계단 진입 분산</w:t>
            </w:r>
          </w:p>
        </w:tc>
        <w:tc>
          <w:tcPr>
            <w:tcW w:type="dxa" w:w="2880"/>
          </w:tcPr>
          <w:p>
            <w:pPr>
              <w:jc w:val="center"/>
            </w:pPr>
            <w:r>
              <w:rPr>
                <w:sz w:val="18"/>
              </w:rPr>
              <w:t>N(7.5, 3.75)초</w:t>
            </w:r>
          </w:p>
        </w:tc>
        <w:tc>
          <w:tcPr>
            <w:tcW w:type="dxa" w:w="2880"/>
          </w:tcPr>
          <w:p>
            <w:pPr>
              <w:jc w:val="center"/>
            </w:pPr>
            <w:r>
              <w:rPr>
                <w:sz w:val="18"/>
              </w:rPr>
              <w:t>15초에 걸쳐 분산 도착</w:t>
            </w:r>
          </w:p>
        </w:tc>
      </w:tr>
    </w:tbl>
    <w:p>
      <w:pPr>
        <w:pStyle w:val="Heading1"/>
      </w:pPr>
      <w:r>
        <w:t>참고문헌</w:t>
      </w:r>
    </w:p>
    <w:p>
      <w:pPr>
        <w:spacing w:after="80"/>
        <w:ind w:left="567" w:hanging="567"/>
      </w:pPr>
      <w:r>
        <w:t>Haghani, M. &amp; Sarvi, M. (2017). Stated and revealed exit choices of pedestrian crowd evacuees. Transportation Research Part B: Methodological, 106, 410-427.</w:t>
      </w:r>
    </w:p>
    <w:p>
      <w:pPr>
        <w:spacing w:after="80"/>
        <w:ind w:left="567" w:hanging="567"/>
      </w:pPr>
      <w:r>
        <w:t>Helbing, D. &amp; Molnar, P. (1995). Social Force Model for Pedestrian Dynamics. Physical Review E, 51(5), 4282-4286.</w:t>
      </w:r>
    </w:p>
    <w:p>
      <w:pPr>
        <w:spacing w:after="80"/>
        <w:ind w:left="567" w:hanging="567"/>
      </w:pPr>
      <w:r>
        <w:t>Kemloh Wagoum, A.U., Chraibi, M., &amp; Zhang, J. (2015). JuPedSim: an open framework for simulating and analyzing the dynamics of pedestrians. 3rd Conference of Transportation Research Group of India.</w:t>
      </w:r>
    </w:p>
    <w:p>
      <w:pPr>
        <w:spacing w:after="80"/>
        <w:ind w:left="567" w:hanging="567"/>
      </w:pPr>
      <w:r>
        <w:t>Kretz, T. (2015). On Oscillations in the Social Force Model. Physica A, 438, 272-285.</w:t>
      </w:r>
    </w:p>
    <w:p>
      <w:pPr>
        <w:spacing w:after="80"/>
        <w:ind w:left="567" w:hanging="567"/>
      </w:pPr>
      <w:r>
        <w:t>Peng, J., Wei, Z., Li, J., Guo, X., &amp; Wang, S. (2024). Passenger Flow Bottleneck Decongestion in Subway Stations: A Simulation Study. SIMULATION (SAGE).</w:t>
      </w:r>
    </w:p>
    <w:p>
      <w:pPr>
        <w:spacing w:after="80"/>
        <w:ind w:left="567" w:hanging="567"/>
      </w:pPr>
      <w:r>
        <w:t>Rzezonka, J., Chraibi, M., Seyfried, A., Hein, B., &amp; Schadschneider, A. (2022). An attempt to distinguish physical and socio-psychological influences on pedestrian bottleneck. Royal Society Open Science, 9(6), 211822.</w:t>
      </w:r>
    </w:p>
    <w:p>
      <w:pPr>
        <w:spacing w:after="80"/>
        <w:ind w:left="567" w:hanging="567"/>
      </w:pPr>
      <w:r>
        <w:t>Seyfried, A., Steffen, B., Klingsch, W., &amp; Boltes, M. (2005). The fundamental diagram of pedestrian movement revisited. Journal of Statistical Mechanics, P10002.</w:t>
      </w:r>
    </w:p>
    <w:p>
      <w:pPr>
        <w:spacing w:after="80"/>
        <w:ind w:left="567" w:hanging="567"/>
      </w:pPr>
      <w:r>
        <w:t>Seyfried, A., Boltes, M., Kahler, J., Klingsch, W., Portz, A., Rupprecht, T., Schadschneider, A., Steffen, B., &amp; Winkens, A. (2010). Enhanced empirical data for the fundamental diagram and the flow through bottlenecks. In: Pedestrian and Evacuation Dynamics 2008, Springer.</w:t>
      </w:r>
    </w:p>
    <w:p>
      <w:pPr>
        <w:spacing w:after="80"/>
        <w:ind w:left="567" w:hanging="567"/>
      </w:pPr>
      <w:r>
        <w:t>Tordeux, A., Chraibi, M., &amp; Seyfried, A. (2016). Collision-Free Speed Model for Pedestrian Dynamics. In: Traffic and Granular Flow '15, pp. 225-232. Springer.</w:t>
      </w:r>
    </w:p>
    <w:p>
      <w:pPr>
        <w:spacing w:after="80"/>
        <w:ind w:left="567" w:hanging="567"/>
      </w:pPr>
      <w:r>
        <w:t>Weidmann, U. (1993). Transporttechnik der Fussgaenger. Schriftenreihe des IVT Nr. 90, ETH Zuerich.</w:t>
      </w:r>
    </w:p>
    <w:p>
      <w:pPr>
        <w:spacing w:after="80"/>
        <w:ind w:left="567" w:hanging="567"/>
      </w:pPr>
      <w:r>
        <w:t>Xu, Q., Chraibi, M., Tordeux, A., &amp; Zhang, J. (2019). Generalized collision-free velocity model for pedestrian dynamics. Physica A, 535, 122521.</w:t>
      </w:r>
    </w:p>
    <w:p>
      <w:pPr>
        <w:spacing w:after="80"/>
        <w:ind w:left="567" w:hanging="567"/>
      </w:pPr>
      <w:r>
        <w:t>Zhang, S., Chraibi, M., Zhang, J., Li, H., &amp; Song, W. (2019). Validation of Collision-Free Speed Model in Bottlenecks. 2019 9th International Conference on Fire Science and Fire Protection Engineering (ICFSFPE), IEEE.</w:t>
      </w:r>
    </w:p>
    <w:p>
      <w:pPr>
        <w:spacing w:after="80"/>
        <w:ind w:left="567" w:hanging="567"/>
      </w:pPr>
      <w:r>
        <w:t>Zhang, S., Zhang, J., Chraibi, M., &amp; Song, W. (2021). A speed-based model for crowd simulation considering walking preferences. Communications in Nonlinear Science and Numerical Simulation, 95, 105624.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