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3. 방법론</w:t>
      </w:r>
    </w:p>
    <w:p>
      <w:pPr>
        <w:pStyle w:val="Heading2"/>
      </w:pPr>
      <w:r>
        <w:t>3.1 시뮬레이션 프레임워크</w:t>
      </w:r>
    </w:p>
    <w:p>
      <w:r>
        <w:t>태그리스 단계적 도입 과정에서, 태그리스 하드웨어가 설치된 게이트를 겸용으로 운영할 것인가 전용(express lane)으로 운영할 것인가에 따른 통행비용 차이를 미시적 보행 시뮬레이션으로 분석한다.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35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구분</w:t>
            </w:r>
          </w:p>
        </w:tc>
        <w:tc>
          <w:tcPr>
            <w:tcW w:type="dxa" w:w="6803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내용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sz w:val="18"/>
              </w:rPr>
              <w:t>시뮬레이션 도구</w:t>
            </w:r>
          </w:p>
        </w:tc>
        <w:tc>
          <w:tcPr>
            <w:tcW w:type="dxa" w:w="6803"/>
          </w:tcPr>
          <w:p>
            <w:pPr>
              <w:jc w:val="center"/>
            </w:pPr>
            <w:r/>
            <w:r>
              <w:rPr>
                <w:sz w:val="18"/>
              </w:rPr>
              <w:t>JuPedSim (Python/C++, 오픈소스, LGPL)</w:t>
            </w:r>
          </w:p>
        </w:tc>
      </w:tr>
      <w:tr>
        <w:tc>
          <w:tcPr>
            <w:tcW w:type="dxa" w:w="2835"/>
            <w:shd w:val="clear" w:color="auto" w:fill="F5F5F5"/>
          </w:tcPr>
          <w:p>
            <w:pPr>
              <w:jc w:val="center"/>
            </w:pPr>
            <w:r/>
            <w:r>
              <w:rPr>
                <w:sz w:val="18"/>
              </w:rPr>
              <w:t>보행 모델</w:t>
            </w:r>
          </w:p>
        </w:tc>
        <w:tc>
          <w:tcPr>
            <w:tcW w:type="dxa" w:w="6803"/>
            <w:shd w:val="clear" w:color="auto" w:fill="F5F5F5"/>
          </w:tcPr>
          <w:p>
            <w:pPr>
              <w:jc w:val="center"/>
            </w:pPr>
            <w:r/>
            <w:r>
              <w:rPr>
                <w:sz w:val="18"/>
              </w:rPr>
              <w:t>CFSM V2 (Tordeux et al., 2016; Xu et al., 2019)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sz w:val="18"/>
              </w:rPr>
              <w:t>게이트 선택</w:t>
            </w:r>
          </w:p>
        </w:tc>
        <w:tc>
          <w:tcPr>
            <w:tcW w:type="dxa" w:w="6803"/>
          </w:tcPr>
          <w:p>
            <w:pPr>
              <w:jc w:val="center"/>
            </w:pPr>
            <w:r/>
            <w:r>
              <w:rPr>
                <w:sz w:val="18"/>
              </w:rPr>
              <w:t>MNL — Gao et al. (2019) LRP 기반</w:t>
            </w:r>
          </w:p>
        </w:tc>
      </w:tr>
      <w:tr>
        <w:tc>
          <w:tcPr>
            <w:tcW w:type="dxa" w:w="2835"/>
            <w:shd w:val="clear" w:color="auto" w:fill="F5F5F5"/>
          </w:tcPr>
          <w:p>
            <w:pPr>
              <w:jc w:val="center"/>
            </w:pPr>
            <w:r/>
            <w:r>
              <w:rPr>
                <w:sz w:val="18"/>
              </w:rPr>
              <w:t>대상역</w:t>
            </w:r>
          </w:p>
        </w:tc>
        <w:tc>
          <w:tcPr>
            <w:tcW w:type="dxa" w:w="6803"/>
            <w:shd w:val="clear" w:color="auto" w:fill="F5F5F5"/>
          </w:tcPr>
          <w:p>
            <w:pPr>
              <w:jc w:val="center"/>
            </w:pPr>
            <w:r/>
            <w:r>
              <w:rPr>
                <w:sz w:val="18"/>
              </w:rPr>
              <w:t>성수역 2호선 서쪽 대합실 (50m × 25m, 게이트 7개)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sz w:val="18"/>
              </w:rPr>
              <w:t>V&amp;V</w:t>
            </w:r>
          </w:p>
        </w:tc>
        <w:tc>
          <w:tcPr>
            <w:tcW w:type="dxa" w:w="6803"/>
          </w:tcPr>
          <w:p>
            <w:pPr>
              <w:jc w:val="center"/>
            </w:pPr>
            <w:r/>
            <w:r>
              <w:rPr>
                <w:sz w:val="18"/>
              </w:rPr>
              <w:t>NIST TN 1822 (Ronchi et al., 2013) 준용</w:t>
            </w:r>
          </w:p>
        </w:tc>
      </w:tr>
    </w:tbl>
    <w:p/>
    <w:p>
      <w:pPr>
        <w:jc w:val="center"/>
      </w:pPr>
      <w:r>
        <w:rPr>
          <w:b/>
        </w:rPr>
        <w:t xml:space="preserve">표 3-1. </w:t>
      </w:r>
      <w:r>
        <w:t>시뮬레이션 프레임워크 구성</w:t>
      </w:r>
    </w:p>
    <w:p>
      <w:pPr>
        <w:pStyle w:val="Heading3"/>
      </w:pPr>
      <w:r>
        <w:t>3.1.1 도구 선정 근거</w:t>
      </w:r>
    </w:p>
    <w:p>
      <w:r>
        <w:t>JuPedSim 선정 근거:</w:t>
      </w:r>
    </w:p>
    <w:p>
      <w:pPr>
        <w:pStyle w:val="ListBullet"/>
      </w:pPr>
      <w:r>
        <w:t>CFSM V2 기본 지원 — 0.55m 게이트 통로에서 안정적 시뮬레이션</w:t>
      </w:r>
    </w:p>
    <w:p>
      <w:pPr>
        <w:pStyle w:val="ListBullet"/>
      </w:pPr>
      <w:r>
        <w:t>에이전트별 파라미터 개별 설정·동적 변경 가능 — 태그/태그리스 서비스 시간 차별화</w:t>
      </w:r>
    </w:p>
    <w:p>
      <w:pPr>
        <w:pStyle w:val="ListBullet"/>
      </w:pPr>
      <w:r>
        <w:t>Python API — MNL 게이트 선택, Choice Set 분리 등 자유 구현</w:t>
      </w:r>
    </w:p>
    <w:p>
      <w:pPr>
        <w:pStyle w:val="ListBullet"/>
      </w:pPr>
      <w:r>
        <w:t>오픈소스 — 코드·파라미터 완전 공개, 재현성 보장</w:t>
      </w:r>
    </w:p>
    <w:p>
      <w:pPr>
        <w:pStyle w:val="Heading3"/>
      </w:pPr>
      <w:r>
        <w:t>3.1.2 AnyLogic 미채택 근거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551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3685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JuPedSim</w:t>
            </w:r>
          </w:p>
        </w:tc>
        <w:tc>
          <w:tcPr>
            <w:tcW w:type="dxa" w:w="3402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AnyLogic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sz w:val="18"/>
              </w:rPr>
              <w:t>보행 모델</w:t>
            </w:r>
          </w:p>
        </w:tc>
        <w:tc>
          <w:tcPr>
            <w:tcW w:type="dxa" w:w="3685"/>
          </w:tcPr>
          <w:p>
            <w:pPr>
              <w:jc w:val="center"/>
            </w:pPr>
            <w:r/>
            <w:r>
              <w:rPr>
                <w:sz w:val="18"/>
              </w:rPr>
              <w:t>CFSM V2 (속도 기반, 충돌 방지)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sz w:val="18"/>
              </w:rPr>
              <w:t>SFM (힘 기반, 겹침 위험)</w:t>
            </w:r>
          </w:p>
        </w:tc>
      </w:tr>
      <w:tr>
        <w:tc>
          <w:tcPr>
            <w:tcW w:type="dxa" w:w="2551"/>
            <w:shd w:val="clear" w:color="auto" w:fill="F5F5F5"/>
          </w:tcPr>
          <w:p>
            <w:pPr>
              <w:jc w:val="center"/>
            </w:pPr>
            <w:r/>
            <w:r>
              <w:rPr>
                <w:sz w:val="18"/>
              </w:rPr>
              <w:t>게이트 선택</w:t>
            </w:r>
          </w:p>
        </w:tc>
        <w:tc>
          <w:tcPr>
            <w:tcW w:type="dxa" w:w="3685"/>
            <w:shd w:val="clear" w:color="auto" w:fill="F5F5F5"/>
          </w:tcPr>
          <w:p>
            <w:pPr>
              <w:jc w:val="center"/>
            </w:pPr>
            <w:r/>
            <w:r>
              <w:rPr>
                <w:sz w:val="18"/>
              </w:rPr>
              <w:t>MNL 자유 구현</w:t>
            </w:r>
          </w:p>
        </w:tc>
        <w:tc>
          <w:tcPr>
            <w:tcW w:type="dxa" w:w="3402"/>
            <w:shd w:val="clear" w:color="auto" w:fill="F5F5F5"/>
          </w:tcPr>
          <w:p>
            <w:pPr>
              <w:jc w:val="center"/>
            </w:pPr>
            <w:r/>
            <w:r>
              <w:rPr>
                <w:sz w:val="18"/>
              </w:rPr>
              <w:t>PedSelectOutput — 고정확률/조건분기만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sz w:val="18"/>
              </w:rPr>
              <w:t>Choice Set 분리</w:t>
            </w:r>
          </w:p>
        </w:tc>
        <w:tc>
          <w:tcPr>
            <w:tcW w:type="dxa" w:w="3685"/>
          </w:tcPr>
          <w:p>
            <w:pPr>
              <w:jc w:val="center"/>
            </w:pPr>
            <w:r/>
            <w:r>
              <w:rPr>
                <w:sz w:val="18"/>
              </w:rPr>
              <w:t>Python 자유 구현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sz w:val="18"/>
              </w:rPr>
              <w:t>미지원</w:t>
            </w:r>
          </w:p>
        </w:tc>
      </w:tr>
      <w:tr>
        <w:tc>
          <w:tcPr>
            <w:tcW w:type="dxa" w:w="2551"/>
            <w:shd w:val="clear" w:color="auto" w:fill="F5F5F5"/>
          </w:tcPr>
          <w:p>
            <w:pPr>
              <w:jc w:val="center"/>
            </w:pPr>
            <w:r/>
            <w:r>
              <w:rPr>
                <w:sz w:val="18"/>
              </w:rPr>
              <w:t>V&amp;V dt/겹침 검증</w:t>
            </w:r>
          </w:p>
        </w:tc>
        <w:tc>
          <w:tcPr>
            <w:tcW w:type="dxa" w:w="3685"/>
            <w:shd w:val="clear" w:color="auto" w:fill="F5F5F5"/>
          </w:tcPr>
          <w:p>
            <w:pPr>
              <w:jc w:val="center"/>
            </w:pPr>
            <w:r/>
            <w:r>
              <w:rPr>
                <w:sz w:val="18"/>
              </w:rPr>
              <w:t>완전 가능</w:t>
            </w:r>
          </w:p>
        </w:tc>
        <w:tc>
          <w:tcPr>
            <w:tcW w:type="dxa" w:w="3402"/>
            <w:shd w:val="clear" w:color="auto" w:fill="F5F5F5"/>
          </w:tcPr>
          <w:p>
            <w:pPr>
              <w:jc w:val="center"/>
            </w:pPr>
            <w:r/>
            <w:r>
              <w:rPr>
                <w:sz w:val="18"/>
              </w:rPr>
              <w:t>불가 (블랙박스)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sz w:val="18"/>
              </w:rPr>
              <w:t>코드 재현성</w:t>
            </w:r>
          </w:p>
        </w:tc>
        <w:tc>
          <w:tcPr>
            <w:tcW w:type="dxa" w:w="3685"/>
          </w:tcPr>
          <w:p>
            <w:pPr>
              <w:jc w:val="center"/>
            </w:pPr>
            <w:r/>
            <w:r>
              <w:rPr>
                <w:sz w:val="18"/>
              </w:rPr>
              <w:t>완전 공개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sz w:val="18"/>
              </w:rPr>
              <w:t>바이너리 모델 파일</w:t>
            </w:r>
          </w:p>
        </w:tc>
      </w:tr>
    </w:tbl>
    <w:p/>
    <w:p>
      <w:pPr>
        <w:jc w:val="center"/>
      </w:pPr>
      <w:r>
        <w:rPr>
          <w:b/>
        </w:rPr>
        <w:t xml:space="preserve">표 3-2. </w:t>
      </w:r>
      <w:r>
        <w:t>JuPedSim vs AnyLogic 비교</w:t>
      </w:r>
    </w:p>
    <w:p>
      <w:r>
        <w:t>AnyLogic PedSelectOutput의 한계:</w:t>
      </w:r>
    </w:p>
    <w:p>
      <w:pPr>
        <w:pStyle w:val="ListBullet"/>
      </w:pPr>
      <w:r>
        <w:t>Probabilities — 고정 비율 분배, 대기열·거리에 따른 동적 반응 없음</w:t>
      </w:r>
    </w:p>
    <w:p>
      <w:pPr>
        <w:pStyle w:val="ListBullet"/>
      </w:pPr>
      <w:r>
        <w:t>Conditions — Boolean 조건 순차 분기, 확률적 선택 불가</w:t>
      </w:r>
    </w:p>
    <w:p>
      <w:pPr>
        <w:pStyle w:val="ListBullet"/>
      </w:pPr>
      <w:r>
        <w:t>Exit Number — 결정론적 출구 지정, 확률적 선택 불가</w:t>
      </w:r>
    </w:p>
    <w:p>
      <w:pPr>
        <w:pStyle w:val="Heading2"/>
      </w:pPr>
      <w:r>
        <w:t>3.2 분석 대상: 성수역 서쪽 대합실</w:t>
      </w:r>
    </w:p>
    <w:p>
      <w:r>
        <w:t>대상역 선정 근거:</w:t>
      </w:r>
    </w:p>
    <w:p>
      <w:pPr>
        <w:pStyle w:val="ListBullet"/>
      </w:pPr>
      <w:r>
        <w:t>환승 없음 → 역사 구조 단순, 시뮬레이션 구현 용이</w:t>
      </w:r>
    </w:p>
    <w:p>
      <w:pPr>
        <w:pStyle w:val="ListBullet"/>
      </w:pPr>
      <w:r>
        <w:t>승객/게이트 비율 상위 3위 (일평균 105,574명 / 39대 = 2,707명/게이트)</w:t>
      </w:r>
    </w:p>
    <w:p>
      <w:pPr>
        <w:pStyle w:val="ListBullet"/>
      </w:pPr>
      <w:r>
        <w:t>태그리스 미설치 → 우이신설선 실측값 이식(transferability) 방식 적용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268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구성요소</w:t>
            </w:r>
          </w:p>
        </w:tc>
        <w:tc>
          <w:tcPr>
            <w:tcW w:type="dxa" w:w="2835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치수/수량</w:t>
            </w:r>
          </w:p>
        </w:tc>
        <w:tc>
          <w:tcPr>
            <w:tcW w:type="dxa" w:w="4535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비고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sz w:val="18"/>
              </w:rPr>
              <w:t>대합실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sz w:val="18"/>
              </w:rPr>
              <w:t>50m × 25m</w:t>
            </w:r>
          </w:p>
        </w:tc>
        <w:tc>
          <w:tcPr>
            <w:tcW w:type="dxa" w:w="4535"/>
          </w:tcPr>
          <w:p>
            <w:pPr>
              <w:jc w:val="center"/>
            </w:pPr>
            <w:r/>
            <w:r>
              <w:rPr>
                <w:sz w:val="18"/>
              </w:rPr>
              <w:t>상부 노치 포함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pPr>
              <w:jc w:val="center"/>
            </w:pPr>
            <w:r/>
            <w:r>
              <w:rPr>
                <w:sz w:val="18"/>
              </w:rPr>
              <w:t>계단</w:t>
            </w:r>
          </w:p>
        </w:tc>
        <w:tc>
          <w:tcPr>
            <w:tcW w:type="dxa" w:w="2835"/>
            <w:shd w:val="clear" w:color="auto" w:fill="F5F5F5"/>
          </w:tcPr>
          <w:p>
            <w:pPr>
              <w:jc w:val="center"/>
            </w:pPr>
            <w:r/>
            <w:r>
              <w:rPr>
                <w:sz w:val="18"/>
              </w:rPr>
              <w:t>2개, 폭 3.0m</w:t>
            </w:r>
          </w:p>
        </w:tc>
        <w:tc>
          <w:tcPr>
            <w:tcW w:type="dxa" w:w="4535"/>
            <w:shd w:val="clear" w:color="auto" w:fill="F5F5F5"/>
          </w:tcPr>
          <w:p>
            <w:pPr>
              <w:jc w:val="center"/>
            </w:pPr>
            <w:r/>
            <w:r>
              <w:rPr>
                <w:sz w:val="18"/>
              </w:rPr>
              <w:t>상부(y=15~18), 하부(y=8~11)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sz w:val="18"/>
              </w:rPr>
              <w:t>출구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sz w:val="18"/>
              </w:rPr>
              <w:t>2개, 폭 3.0m</w:t>
            </w:r>
          </w:p>
        </w:tc>
        <w:tc>
          <w:tcPr>
            <w:tcW w:type="dxa" w:w="4535"/>
          </w:tcPr>
          <w:p>
            <w:pPr>
              <w:jc w:val="center"/>
            </w:pPr>
            <w:r/>
            <w:r>
              <w:rPr>
                <w:sz w:val="18"/>
              </w:rPr>
              <w:t>상부(y=24), 하부(y=3)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pPr>
              <w:jc w:val="center"/>
            </w:pPr>
            <w:r/>
            <w:r>
              <w:rPr>
                <w:sz w:val="18"/>
              </w:rPr>
              <w:t>게이트</w:t>
            </w:r>
          </w:p>
        </w:tc>
        <w:tc>
          <w:tcPr>
            <w:tcW w:type="dxa" w:w="2835"/>
            <w:shd w:val="clear" w:color="auto" w:fill="F5F5F5"/>
          </w:tcPr>
          <w:p>
            <w:pPr>
              <w:jc w:val="center"/>
            </w:pPr>
            <w:r/>
            <w:r>
              <w:rPr>
                <w:sz w:val="18"/>
              </w:rPr>
              <w:t>7개</w:t>
            </w:r>
          </w:p>
        </w:tc>
        <w:tc>
          <w:tcPr>
            <w:tcW w:type="dxa" w:w="4535"/>
            <w:shd w:val="clear" w:color="auto" w:fill="F5F5F5"/>
          </w:tcPr>
          <w:p>
            <w:pPr>
              <w:jc w:val="center"/>
            </w:pPr>
            <w:r/>
            <w:r>
              <w:rPr>
                <w:sz w:val="18"/>
              </w:rPr>
              <w:t>통로 폭 0.55m, 하우징 0.30m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sz w:val="18"/>
              </w:rPr>
              <w:t>게이트 배리어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sz w:val="18"/>
              </w:rPr>
              <w:t>x=12.0m, y=3~22m</w:t>
            </w:r>
          </w:p>
        </w:tc>
        <w:tc>
          <w:tcPr>
            <w:tcW w:type="dxa" w:w="4535"/>
          </w:tcPr>
          <w:p>
            <w:pPr>
              <w:jc w:val="center"/>
            </w:pPr>
            <w:r/>
            <w:r>
              <w:rPr>
                <w:sz w:val="18"/>
              </w:rPr>
              <w:t>클러스터 높이 6.25m</w:t>
            </w:r>
          </w:p>
        </w:tc>
      </w:tr>
    </w:tbl>
    <w:p/>
    <w:p>
      <w:pPr>
        <w:jc w:val="center"/>
      </w:pPr>
      <w:r>
        <w:rPr>
          <w:b/>
        </w:rPr>
        <w:t xml:space="preserve">표 3-3. </w:t>
      </w:r>
      <w:r>
        <w:t>대합실 기하구조 및 게이트 배치</w:t>
      </w:r>
    </w:p>
    <w:p>
      <w:pPr>
        <w:pStyle w:val="Heading2"/>
      </w:pPr>
      <w:r>
        <w:t>3.3 보행 모델: CFSM V2</w:t>
      </w:r>
    </w:p>
    <w:p>
      <w:r>
        <w:t>SFM 대비 CFSM V2 선정 근거:</w:t>
      </w:r>
    </w:p>
    <w:p>
      <w:pPr>
        <w:pStyle w:val="ListBullet"/>
      </w:pPr>
      <w:r>
        <w:t>SFM: 힘 기반(F=ma) → 좁은 통로에서 겹침·진동 발생 (Kretz, 2015)</w:t>
      </w:r>
    </w:p>
    <w:p>
      <w:pPr>
        <w:pStyle w:val="ListBullet"/>
      </w:pPr>
      <w:r>
        <w:t>CFSM V2: 1차 속도 방정식 → 간격이 직경 이하이면 속도=0, 충돌 구조적 방지</w:t>
      </w:r>
    </w:p>
    <w:p>
      <w:pPr>
        <w:pStyle w:val="ListBullet"/>
      </w:pPr>
      <w:r>
        <w:t>초기 적용한 GCFM은 V5(dt 변동 24%)·V6(겹침 22.4cm) FAIL → CFSM V2로 전환</w:t>
      </w:r>
    </w:p>
    <w:p>
      <w:r>
        <w:t>수학적 정식화:</w:t>
      </w:r>
    </w:p>
    <w:p>
      <w:pPr>
        <w:jc w:val="center"/>
      </w:pPr>
      <w:r>
        <w:rPr>
          <w:rFonts w:ascii="Cambria Math" w:hAnsi="Cambria Math"/>
          <w:sz w:val="22"/>
        </w:rPr>
        <w:t>ẋᵢ = V(sᵢ) · eᵢ</w:t>
      </w:r>
    </w:p>
    <w:p>
      <w:pPr>
        <w:jc w:val="right"/>
      </w:pPr>
      <w:r>
        <w:t>(1)</w:t>
      </w:r>
    </w:p>
    <w:p>
      <w:pPr>
        <w:jc w:val="center"/>
      </w:pPr>
      <w:r>
        <w:rPr>
          <w:rFonts w:ascii="Cambria Math" w:hAnsi="Cambria Math"/>
          <w:sz w:val="22"/>
        </w:rPr>
        <w:t>V(s) = min{ v₀, max{ 0, (s − l) / T } }</w:t>
      </w:r>
    </w:p>
    <w:p>
      <w:pPr>
        <w:jc w:val="right"/>
      </w:pPr>
      <w:r>
        <w:t>(2)</w:t>
      </w:r>
    </w:p>
    <w:p>
      <w:pPr>
        <w:pStyle w:val="ListBullet"/>
      </w:pPr>
      <w:r>
        <w:t>V(s): 최적 속도 함수. s ≤ l이면 V=0 → 겹침 원천 방지</w:t>
      </w:r>
    </w:p>
    <w:p>
      <w:pPr>
        <w:pStyle w:val="ListBullet"/>
      </w:pPr>
      <w:r>
        <w:t>v₀: 희망속도, l: 보행자 직경(=2r), T: 시간 간격, s: 전방 이웃 거리</w:t>
      </w:r>
    </w:p>
    <w:p>
      <w:pPr>
        <w:pStyle w:val="ListBullet"/>
      </w:pPr>
      <w:r>
        <w:t>이동 방향 eᵢ: 목적지 방향 + 이웃·벽면 반발의 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268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파라미터</w:t>
            </w:r>
          </w:p>
        </w:tc>
        <w:tc>
          <w:tcPr>
            <w:tcW w:type="dxa" w:w="1417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기호</w:t>
            </w:r>
          </w:p>
        </w:tc>
        <w:tc>
          <w:tcPr>
            <w:tcW w:type="dxa" w:w="3118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값</w:t>
            </w:r>
          </w:p>
        </w:tc>
        <w:tc>
          <w:tcPr>
            <w:tcW w:type="dxa" w:w="2835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출처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sz w:val="18"/>
              </w:rPr>
              <w:t>시간 간격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sz w:val="18"/>
              </w:rPr>
              <w:t>T</w:t>
            </w:r>
          </w:p>
        </w:tc>
        <w:tc>
          <w:tcPr>
            <w:tcW w:type="dxa" w:w="3118"/>
          </w:tcPr>
          <w:p>
            <w:pPr>
              <w:jc w:val="center"/>
            </w:pPr>
            <w:r/>
            <w:r>
              <w:rPr>
                <w:sz w:val="18"/>
              </w:rPr>
              <w:t>0.80 s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sz w:val="18"/>
              </w:rPr>
              <w:t>Seyfried (2009) 캘리브레이션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pPr>
              <w:jc w:val="center"/>
            </w:pPr>
            <w:r/>
            <w:r>
              <w:rPr>
                <w:sz w:val="18"/>
              </w:rPr>
              <w:t>보행자 반경</w:t>
            </w:r>
          </w:p>
        </w:tc>
        <w:tc>
          <w:tcPr>
            <w:tcW w:type="dxa" w:w="1417"/>
            <w:shd w:val="clear" w:color="auto" w:fill="F5F5F5"/>
          </w:tcPr>
          <w:p>
            <w:pPr>
              <w:jc w:val="center"/>
            </w:pPr>
            <w:r/>
            <w:r>
              <w:rPr>
                <w:sz w:val="18"/>
              </w:rPr>
              <w:t>r</w:t>
            </w:r>
          </w:p>
        </w:tc>
        <w:tc>
          <w:tcPr>
            <w:tcW w:type="dxa" w:w="3118"/>
            <w:shd w:val="clear" w:color="auto" w:fill="F5F5F5"/>
          </w:tcPr>
          <w:p>
            <w:pPr>
              <w:jc w:val="center"/>
            </w:pPr>
            <w:r/>
            <w:r>
              <w:rPr>
                <w:sz w:val="18"/>
              </w:rPr>
              <w:t>0.15 m</w:t>
            </w:r>
          </w:p>
        </w:tc>
        <w:tc>
          <w:tcPr>
            <w:tcW w:type="dxa" w:w="2835"/>
            <w:shd w:val="clear" w:color="auto" w:fill="F5F5F5"/>
          </w:tcPr>
          <w:p>
            <w:pPr>
              <w:jc w:val="center"/>
            </w:pPr>
            <w:r/>
            <w:r>
              <w:rPr>
                <w:sz w:val="18"/>
              </w:rPr>
              <w:t>0.55m 게이트 통과 대응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sz w:val="18"/>
              </w:rPr>
              <w:t>이웃 반발 강도/범위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sz w:val="18"/>
              </w:rPr>
              <w:t>aₙ / Dₙ</w:t>
            </w:r>
          </w:p>
        </w:tc>
        <w:tc>
          <w:tcPr>
            <w:tcW w:type="dxa" w:w="3118"/>
          </w:tcPr>
          <w:p>
            <w:pPr>
              <w:jc w:val="center"/>
            </w:pPr>
            <w:r/>
            <w:r>
              <w:rPr>
                <w:sz w:val="18"/>
              </w:rPr>
              <w:t>8.0 / 0.1 m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sz w:val="18"/>
              </w:rPr>
              <w:t>Tordeux et al. (2016)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pPr>
              <w:jc w:val="center"/>
            </w:pPr>
            <w:r/>
            <w:r>
              <w:rPr>
                <w:sz w:val="18"/>
              </w:rPr>
              <w:t>벽면 반발 강도/범위</w:t>
            </w:r>
          </w:p>
        </w:tc>
        <w:tc>
          <w:tcPr>
            <w:tcW w:type="dxa" w:w="1417"/>
            <w:shd w:val="clear" w:color="auto" w:fill="F5F5F5"/>
          </w:tcPr>
          <w:p>
            <w:pPr>
              <w:jc w:val="center"/>
            </w:pPr>
            <w:r/>
            <w:r>
              <w:rPr>
                <w:sz w:val="18"/>
              </w:rPr>
              <w:t>ag / Dg</w:t>
            </w:r>
          </w:p>
        </w:tc>
        <w:tc>
          <w:tcPr>
            <w:tcW w:type="dxa" w:w="3118"/>
            <w:shd w:val="clear" w:color="auto" w:fill="F5F5F5"/>
          </w:tcPr>
          <w:p>
            <w:pPr>
              <w:jc w:val="center"/>
            </w:pPr>
            <w:r/>
            <w:r>
              <w:rPr>
                <w:sz w:val="18"/>
              </w:rPr>
              <w:t>5.0 / 0.02 m</w:t>
            </w:r>
          </w:p>
        </w:tc>
        <w:tc>
          <w:tcPr>
            <w:tcW w:type="dxa" w:w="2835"/>
            <w:shd w:val="clear" w:color="auto" w:fill="F5F5F5"/>
          </w:tcPr>
          <w:p>
            <w:pPr>
              <w:jc w:val="center"/>
            </w:pPr>
            <w:r/>
            <w:r>
              <w:rPr>
                <w:sz w:val="18"/>
              </w:rPr>
              <w:t>Tordeux et al. (2016)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sz w:val="18"/>
              </w:rPr>
              <w:t>희망속도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sz w:val="18"/>
              </w:rPr>
              <w:t>v₀</w:t>
            </w:r>
          </w:p>
        </w:tc>
        <w:tc>
          <w:tcPr>
            <w:tcW w:type="dxa" w:w="3118"/>
          </w:tcPr>
          <w:p>
            <w:pPr>
              <w:jc w:val="center"/>
            </w:pPr>
            <w:r/>
            <w:r>
              <w:rPr>
                <w:sz w:val="18"/>
              </w:rPr>
              <w:t>N(1.34, 0.26) m/s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sz w:val="18"/>
              </w:rPr>
              <w:t>Weidmann (1993)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pPr>
              <w:jc w:val="center"/>
            </w:pPr>
            <w:r/>
            <w:r>
              <w:rPr>
                <w:sz w:val="18"/>
              </w:rPr>
              <w:t>시간 스텝</w:t>
            </w:r>
          </w:p>
        </w:tc>
        <w:tc>
          <w:tcPr>
            <w:tcW w:type="dxa" w:w="1417"/>
            <w:shd w:val="clear" w:color="auto" w:fill="F5F5F5"/>
          </w:tcPr>
          <w:p>
            <w:pPr>
              <w:jc w:val="center"/>
            </w:pPr>
            <w:r/>
            <w:r>
              <w:rPr>
                <w:sz w:val="18"/>
              </w:rPr>
              <w:t>dt</w:t>
            </w:r>
          </w:p>
        </w:tc>
        <w:tc>
          <w:tcPr>
            <w:tcW w:type="dxa" w:w="3118"/>
            <w:shd w:val="clear" w:color="auto" w:fill="F5F5F5"/>
          </w:tcPr>
          <w:p>
            <w:pPr>
              <w:jc w:val="center"/>
            </w:pPr>
            <w:r/>
            <w:r>
              <w:rPr>
                <w:sz w:val="18"/>
              </w:rPr>
              <w:t>0.05 s</w:t>
            </w:r>
          </w:p>
        </w:tc>
        <w:tc>
          <w:tcPr>
            <w:tcW w:type="dxa" w:w="2835"/>
            <w:shd w:val="clear" w:color="auto" w:fill="F5F5F5"/>
          </w:tcPr>
          <w:p>
            <w:pPr>
              <w:jc w:val="center"/>
            </w:pPr>
            <w:r/>
            <w:r>
              <w:rPr>
                <w:sz w:val="18"/>
              </w:rPr>
              <w:t>수치 안정성</w:t>
            </w:r>
          </w:p>
        </w:tc>
      </w:tr>
    </w:tbl>
    <w:p/>
    <w:p>
      <w:pPr>
        <w:jc w:val="center"/>
      </w:pPr>
      <w:r>
        <w:rPr>
          <w:b/>
        </w:rPr>
        <w:t xml:space="preserve">표 3-4. </w:t>
      </w:r>
      <w:r>
        <w:t>CFSM V2 파라미터</w:t>
      </w:r>
    </w:p>
    <w:p>
      <w:pPr>
        <w:pStyle w:val="Heading2"/>
      </w:pPr>
      <w:r>
        <w:t>3.4 게이트 선택 및 서비스 시간 모델</w:t>
      </w:r>
    </w:p>
    <w:p>
      <w:pPr>
        <w:pStyle w:val="Heading3"/>
      </w:pPr>
      <w:r>
        <w:t>3.4.1 MNL 게이트 선택</w:t>
      </w:r>
    </w:p>
    <w:p>
      <w:r>
        <w:t>Gao et al. (2019) LRP 기반 다항 로짓 모형:</w:t>
      </w:r>
    </w:p>
    <w:p>
      <w:pPr>
        <w:jc w:val="center"/>
      </w:pPr>
      <w:r>
        <w:rPr>
          <w:rFonts w:ascii="Cambria Math" w:hAnsi="Cambria Math"/>
          <w:sz w:val="22"/>
        </w:rPr>
        <w:t>Cⱼ = ωᴺ · Wⱼ + ωᴸ · (L₁ⱼ + L₃ⱼ) / vᵢ</w:t>
      </w:r>
    </w:p>
    <w:p>
      <w:pPr>
        <w:jc w:val="right"/>
      </w:pPr>
      <w:r>
        <w:t>(3)</w:t>
      </w:r>
    </w:p>
    <w:p>
      <w:pPr>
        <w:jc w:val="center"/>
      </w:pPr>
      <w:r>
        <w:rPr>
          <w:rFonts w:ascii="Cambria Math" w:hAnsi="Cambria Math"/>
          <w:sz w:val="22"/>
        </w:rPr>
        <w:t>P(j) = exp(−Cⱼ) / Σₖ exp(−Cₖ),  k ∈ Choice Set</w:t>
      </w:r>
    </w:p>
    <w:p>
      <w:pPr>
        <w:jc w:val="right"/>
      </w:pPr>
      <w:r>
        <w:t>(4)</w:t>
      </w:r>
    </w:p>
    <w:p>
      <w:pPr>
        <w:pStyle w:val="ListBullet"/>
      </w:pPr>
      <w:r>
        <w:t>Cⱼ: 게이트 j 비용, Wⱼ: 예상 대기시간, L₁ⱼ: 접근거리, L₃ⱼ: 게이트→출구 거리</w:t>
      </w:r>
    </w:p>
    <w:p>
      <w:pPr>
        <w:pStyle w:val="ListBullet"/>
      </w:pPr>
      <w:r>
        <w:t>거리 추정: 순서보존 노이즈 (Gao eq.4-5), 대기열 인지: 인지오차 (Gao eq.7)</w:t>
      </w:r>
    </w:p>
    <w:p>
      <w:pPr>
        <w:pStyle w:val="ListBullet"/>
      </w:pPr>
      <w:r>
        <w:t>3단계 의사결정: 3.0m(MNL) → 1.7m(MNL 재평가) → 1.0m(인접 빈 게이트 확정 전환)</w:t>
      </w:r>
    </w:p>
    <w:p>
      <w:pPr>
        <w:pStyle w:val="ListBullet"/>
      </w:pPr>
      <w:r>
        <w:t>핑퐁 방지: 관성(C_switch=1.5), lock-in(3.0m), 재평가 주기(3.0s)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01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성격 유형</w:t>
            </w:r>
          </w:p>
        </w:tc>
        <w:tc>
          <w:tcPr>
            <w:tcW w:type="dxa" w:w="1417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ωᴺ (대기)</w:t>
            </w:r>
          </w:p>
        </w:tc>
        <w:tc>
          <w:tcPr>
            <w:tcW w:type="dxa" w:w="1417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ωᴸ (보행)</w:t>
            </w:r>
          </w:p>
        </w:tc>
        <w:tc>
          <w:tcPr>
            <w:tcW w:type="dxa" w:w="3402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행태</w:t>
            </w:r>
          </w:p>
        </w:tc>
        <w:tc>
          <w:tcPr>
            <w:tcW w:type="dxa" w:w="1134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비율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18"/>
              </w:rPr>
              <w:t>adventurous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sz w:val="18"/>
              </w:rPr>
              <w:t>1.2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sz w:val="18"/>
              </w:rPr>
              <w:t>0.8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sz w:val="18"/>
              </w:rPr>
              <w:t>대기 회피, 먼 빈 게이트 감수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8"/>
              </w:rPr>
              <w:t>1/3</w:t>
            </w:r>
          </w:p>
        </w:tc>
      </w:tr>
      <w:tr>
        <w:tc>
          <w:tcPr>
            <w:tcW w:type="dxa" w:w="1701"/>
            <w:shd w:val="clear" w:color="auto" w:fill="F5F5F5"/>
          </w:tcPr>
          <w:p>
            <w:pPr>
              <w:jc w:val="center"/>
            </w:pPr>
            <w:r/>
            <w:r>
              <w:rPr>
                <w:sz w:val="18"/>
              </w:rPr>
              <w:t>conserved</w:t>
            </w:r>
          </w:p>
        </w:tc>
        <w:tc>
          <w:tcPr>
            <w:tcW w:type="dxa" w:w="1417"/>
            <w:shd w:val="clear" w:color="auto" w:fill="F5F5F5"/>
          </w:tcPr>
          <w:p>
            <w:pPr>
              <w:jc w:val="center"/>
            </w:pPr>
            <w:r/>
            <w:r>
              <w:rPr>
                <w:sz w:val="18"/>
              </w:rPr>
              <w:t>0.8</w:t>
            </w:r>
          </w:p>
        </w:tc>
        <w:tc>
          <w:tcPr>
            <w:tcW w:type="dxa" w:w="1417"/>
            <w:shd w:val="clear" w:color="auto" w:fill="F5F5F5"/>
          </w:tcPr>
          <w:p>
            <w:pPr>
              <w:jc w:val="center"/>
            </w:pPr>
            <w:r/>
            <w:r>
              <w:rPr>
                <w:sz w:val="18"/>
              </w:rPr>
              <w:t>1.2</w:t>
            </w:r>
          </w:p>
        </w:tc>
        <w:tc>
          <w:tcPr>
            <w:tcW w:type="dxa" w:w="3402"/>
            <w:shd w:val="clear" w:color="auto" w:fill="F5F5F5"/>
          </w:tcPr>
          <w:p>
            <w:pPr>
              <w:jc w:val="center"/>
            </w:pPr>
            <w:r/>
            <w:r>
              <w:rPr>
                <w:sz w:val="18"/>
              </w:rPr>
              <w:t>가까운 게이트 선호</w:t>
            </w:r>
          </w:p>
        </w:tc>
        <w:tc>
          <w:tcPr>
            <w:tcW w:type="dxa" w:w="1134"/>
            <w:shd w:val="clear" w:color="auto" w:fill="F5F5F5"/>
          </w:tcPr>
          <w:p>
            <w:pPr>
              <w:jc w:val="center"/>
            </w:pPr>
            <w:r/>
            <w:r>
              <w:rPr>
                <w:sz w:val="18"/>
              </w:rPr>
              <w:t>1/3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18"/>
              </w:rPr>
              <w:t>mild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sz w:val="18"/>
              </w:rPr>
              <w:t>1.0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sz w:val="18"/>
              </w:rPr>
              <w:t>1.0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sz w:val="18"/>
              </w:rPr>
              <w:t>균등 가중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8"/>
              </w:rPr>
              <w:t>1/3</w:t>
            </w:r>
          </w:p>
        </w:tc>
      </w:tr>
    </w:tbl>
    <w:p/>
    <w:p>
      <w:pPr>
        <w:jc w:val="center"/>
      </w:pPr>
      <w:r>
        <w:rPr>
          <w:b/>
        </w:rPr>
        <w:t xml:space="preserve">표 3-5. </w:t>
      </w:r>
      <w:r>
        <w:t>보행자 성격 유형별 가중치 (Gao et al., 2019)</w:t>
      </w:r>
    </w:p>
    <w:p>
      <w:pPr>
        <w:pStyle w:val="Heading3"/>
      </w:pPr>
      <w:r>
        <w:t>3.4.2 이용자 유형별 Choice Set (연구 핵심)</w:t>
      </w:r>
    </w:p>
    <w:p>
      <w:r>
        <w:t>이용자 유형에 따라 선택 가능 게이트 집합을 분리한다: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551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시나리오</w:t>
            </w:r>
          </w:p>
        </w:tc>
        <w:tc>
          <w:tcPr>
            <w:tcW w:type="dxa" w:w="3402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태그 이용자</w:t>
            </w:r>
          </w:p>
        </w:tc>
        <w:tc>
          <w:tcPr>
            <w:tcW w:type="dxa" w:w="3685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태그리스 이용자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sz w:val="18"/>
              </w:rPr>
              <w:t>기본 (겸용 운영)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sz w:val="18"/>
              </w:rPr>
              <w:t>태그전용 + 겸용 게이트</w:t>
            </w:r>
          </w:p>
        </w:tc>
        <w:tc>
          <w:tcPr>
            <w:tcW w:type="dxa" w:w="3685"/>
          </w:tcPr>
          <w:p>
            <w:pPr>
              <w:jc w:val="center"/>
            </w:pPr>
            <w:r/>
            <w:r>
              <w:rPr>
                <w:sz w:val="18"/>
              </w:rPr>
              <w:t>겸용 게이트만</w:t>
            </w:r>
          </w:p>
        </w:tc>
      </w:tr>
      <w:tr>
        <w:tc>
          <w:tcPr>
            <w:tcW w:type="dxa" w:w="2551"/>
            <w:shd w:val="clear" w:color="auto" w:fill="F5F5F5"/>
          </w:tcPr>
          <w:p>
            <w:pPr>
              <w:jc w:val="center"/>
            </w:pPr>
            <w:r/>
            <w:r>
              <w:rPr>
                <w:sz w:val="18"/>
              </w:rPr>
              <w:t>개선 (express lane)</w:t>
            </w:r>
          </w:p>
        </w:tc>
        <w:tc>
          <w:tcPr>
            <w:tcW w:type="dxa" w:w="3402"/>
            <w:shd w:val="clear" w:color="auto" w:fill="F5F5F5"/>
          </w:tcPr>
          <w:p>
            <w:pPr>
              <w:jc w:val="center"/>
            </w:pPr>
            <w:r/>
            <w:r>
              <w:rPr>
                <w:sz w:val="18"/>
              </w:rPr>
              <w:t>태그 전용 게이트만</w:t>
            </w:r>
          </w:p>
        </w:tc>
        <w:tc>
          <w:tcPr>
            <w:tcW w:type="dxa" w:w="3685"/>
            <w:shd w:val="clear" w:color="auto" w:fill="F5F5F5"/>
          </w:tcPr>
          <w:p>
            <w:pPr>
              <w:jc w:val="center"/>
            </w:pPr>
            <w:r/>
            <w:r>
              <w:rPr>
                <w:sz w:val="18"/>
              </w:rPr>
              <w:t>태그리스 전용 게이트만</w:t>
            </w:r>
          </w:p>
        </w:tc>
      </w:tr>
    </w:tbl>
    <w:p/>
    <w:p>
      <w:pPr>
        <w:jc w:val="center"/>
      </w:pPr>
      <w:r>
        <w:rPr>
          <w:b/>
        </w:rPr>
        <w:t xml:space="preserve">표 3-6. </w:t>
      </w:r>
      <w:r>
        <w:t>시나리오별 Choice Set</w:t>
      </w:r>
    </w:p>
    <w:p>
      <w:pPr>
        <w:pStyle w:val="ListBullet"/>
      </w:pPr>
      <w:r>
        <w:t>기본: 겸용 게이트에서 태그/태그리스 혼재 → 태그 이용자 정지·탭으로 태그리스 대기 발생</w:t>
      </w:r>
    </w:p>
    <w:p>
      <w:pPr>
        <w:pStyle w:val="ListBullet"/>
      </w:pPr>
      <w:r>
        <w:t>개선: 완전 분리 → 혼재 비효율 제거</w:t>
      </w:r>
    </w:p>
    <w:p>
      <w:pPr>
        <w:pStyle w:val="Heading3"/>
      </w:pPr>
      <w:r>
        <w:t>3.4.3 서비스 시간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01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이용자</w:t>
            </w:r>
          </w:p>
        </w:tc>
        <w:tc>
          <w:tcPr>
            <w:tcW w:type="dxa" w:w="1984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분포</w:t>
            </w:r>
          </w:p>
        </w:tc>
        <w:tc>
          <w:tcPr>
            <w:tcW w:type="dxa" w:w="3685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파라미터</w:t>
            </w:r>
          </w:p>
        </w:tc>
        <w:tc>
          <w:tcPr>
            <w:tcW w:type="dxa" w:w="2268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비고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18"/>
              </w:rPr>
              <w:t>태그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sz w:val="18"/>
              </w:rPr>
              <w:t>LogNormal</w:t>
            </w:r>
          </w:p>
        </w:tc>
        <w:tc>
          <w:tcPr>
            <w:tcW w:type="dxa" w:w="3685"/>
          </w:tcPr>
          <w:p>
            <w:pPr>
              <w:jc w:val="center"/>
            </w:pPr>
            <w:r/>
            <w:r>
              <w:rPr>
                <w:sz w:val="18"/>
              </w:rPr>
              <w:t>μ_ln=0.568, σ_ln=0.5, [0.8, 3.7]s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sz w:val="18"/>
              </w:rPr>
              <w:t>평균 2.0s, 통과속도 0.65m/s</w:t>
            </w:r>
          </w:p>
        </w:tc>
      </w:tr>
      <w:tr>
        <w:tc>
          <w:tcPr>
            <w:tcW w:type="dxa" w:w="1701"/>
            <w:shd w:val="clear" w:color="auto" w:fill="F5F5F5"/>
          </w:tcPr>
          <w:p>
            <w:pPr>
              <w:jc w:val="center"/>
            </w:pPr>
            <w:r/>
            <w:r>
              <w:rPr>
                <w:sz w:val="18"/>
              </w:rPr>
              <w:t>태그리스</w:t>
            </w:r>
          </w:p>
        </w:tc>
        <w:tc>
          <w:tcPr>
            <w:tcW w:type="dxa" w:w="1984"/>
            <w:shd w:val="clear" w:color="auto" w:fill="F5F5F5"/>
          </w:tcPr>
          <w:p>
            <w:pPr>
              <w:jc w:val="center"/>
            </w:pPr>
            <w:r/>
            <w:r>
              <w:rPr>
                <w:sz w:val="18"/>
              </w:rPr>
              <w:t>—</w:t>
            </w:r>
          </w:p>
        </w:tc>
        <w:tc>
          <w:tcPr>
            <w:tcW w:type="dxa" w:w="3685"/>
            <w:shd w:val="clear" w:color="auto" w:fill="F5F5F5"/>
          </w:tcPr>
          <w:p>
            <w:pPr>
              <w:jc w:val="center"/>
            </w:pPr>
            <w:r/>
            <w:r>
              <w:rPr>
                <w:sz w:val="18"/>
              </w:rPr>
              <w:t>0s (민감도: 0/0.5/1.0s)</w:t>
            </w:r>
          </w:p>
        </w:tc>
        <w:tc>
          <w:tcPr>
            <w:tcW w:type="dxa" w:w="2268"/>
            <w:shd w:val="clear" w:color="auto" w:fill="F5F5F5"/>
          </w:tcPr>
          <w:p>
            <w:pPr>
              <w:jc w:val="center"/>
            </w:pPr>
            <w:r/>
            <w:r>
              <w:rPr>
                <w:sz w:val="18"/>
              </w:rPr>
              <w:t>우이신설선 실측 예정</w:t>
            </w:r>
          </w:p>
        </w:tc>
      </w:tr>
    </w:tbl>
    <w:p/>
    <w:p>
      <w:pPr>
        <w:jc w:val="center"/>
      </w:pPr>
      <w:r>
        <w:rPr>
          <w:b/>
        </w:rPr>
        <w:t xml:space="preserve">표 3-7. </w:t>
      </w:r>
      <w:r>
        <w:t>서비스 시간 모델</w:t>
      </w:r>
    </w:p>
    <w:p>
      <w:pPr>
        <w:pStyle w:val="ListBullet"/>
      </w:pPr>
      <w:r>
        <w:t>태그: 게이트 진입 시 점유 상태 전환 → 서비스 시간 동안 0.65m/s로 감속 → 해제</w:t>
      </w:r>
    </w:p>
    <w:p>
      <w:pPr>
        <w:pStyle w:val="ListBullet"/>
      </w:pPr>
      <w:r>
        <w:t>태그리스: 점유 없이 희망속도 유지, 무정차 연속 통과</w:t>
      </w:r>
    </w:p>
    <w:p>
      <w:pPr>
        <w:pStyle w:val="Heading2"/>
      </w:pPr>
      <w:r>
        <w:t>3.5 수요 모델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35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파라미터</w:t>
            </w:r>
          </w:p>
        </w:tc>
        <w:tc>
          <w:tcPr>
            <w:tcW w:type="dxa" w:w="2835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값</w:t>
            </w:r>
          </w:p>
        </w:tc>
        <w:tc>
          <w:tcPr>
            <w:tcW w:type="dxa" w:w="3969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근거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sz w:val="18"/>
              </w:rPr>
              <w:t>열차 도착 간격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sz w:val="18"/>
              </w:rPr>
              <w:t>180 s</w:t>
            </w:r>
          </w:p>
        </w:tc>
        <w:tc>
          <w:tcPr>
            <w:tcW w:type="dxa" w:w="3969"/>
          </w:tcPr>
          <w:p>
            <w:pPr>
              <w:jc w:val="center"/>
            </w:pPr>
            <w:r/>
            <w:r>
              <w:rPr>
                <w:sz w:val="18"/>
              </w:rPr>
              <w:t>2호선 피크 배차 간격</w:t>
            </w:r>
          </w:p>
        </w:tc>
      </w:tr>
      <w:tr>
        <w:tc>
          <w:tcPr>
            <w:tcW w:type="dxa" w:w="2835"/>
            <w:shd w:val="clear" w:color="auto" w:fill="F5F5F5"/>
          </w:tcPr>
          <w:p>
            <w:pPr>
              <w:jc w:val="center"/>
            </w:pPr>
            <w:r/>
            <w:r>
              <w:rPr>
                <w:sz w:val="18"/>
              </w:rPr>
              <w:t>1회 하차 인원</w:t>
            </w:r>
          </w:p>
        </w:tc>
        <w:tc>
          <w:tcPr>
            <w:tcW w:type="dxa" w:w="2835"/>
            <w:shd w:val="clear" w:color="auto" w:fill="F5F5F5"/>
          </w:tcPr>
          <w:p>
            <w:pPr>
              <w:jc w:val="center"/>
            </w:pPr>
            <w:r/>
            <w:r>
              <w:rPr>
                <w:sz w:val="18"/>
              </w:rPr>
              <w:t>Poisson(λ=40)</w:t>
            </w:r>
          </w:p>
        </w:tc>
        <w:tc>
          <w:tcPr>
            <w:tcW w:type="dxa" w:w="3969"/>
            <w:shd w:val="clear" w:color="auto" w:fill="F5F5F5"/>
          </w:tcPr>
          <w:p>
            <w:pPr>
              <w:jc w:val="center"/>
            </w:pPr>
            <w:r/>
            <w:r>
              <w:rPr>
                <w:sz w:val="18"/>
              </w:rPr>
              <w:t>서쪽 계단 이용분 추정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sz w:val="18"/>
              </w:rPr>
              <w:t>계단 진입 시각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sz w:val="18"/>
              </w:rPr>
              <w:t>N(7.5, 3.75) s</w:t>
            </w:r>
          </w:p>
        </w:tc>
        <w:tc>
          <w:tcPr>
            <w:tcW w:type="dxa" w:w="3969"/>
          </w:tcPr>
          <w:p>
            <w:pPr>
              <w:jc w:val="center"/>
            </w:pPr>
            <w:r/>
            <w:r>
              <w:rPr>
                <w:sz w:val="18"/>
              </w:rPr>
              <w:t>열차 도착 시점 기준</w:t>
            </w:r>
          </w:p>
        </w:tc>
      </w:tr>
      <w:tr>
        <w:tc>
          <w:tcPr>
            <w:tcW w:type="dxa" w:w="2835"/>
            <w:shd w:val="clear" w:color="auto" w:fill="F5F5F5"/>
          </w:tcPr>
          <w:p>
            <w:pPr>
              <w:jc w:val="center"/>
            </w:pPr>
            <w:r/>
            <w:r>
              <w:rPr>
                <w:sz w:val="18"/>
              </w:rPr>
              <w:t>계단 배분</w:t>
            </w:r>
          </w:p>
        </w:tc>
        <w:tc>
          <w:tcPr>
            <w:tcW w:type="dxa" w:w="2835"/>
            <w:shd w:val="clear" w:color="auto" w:fill="F5F5F5"/>
          </w:tcPr>
          <w:p>
            <w:pPr>
              <w:jc w:val="center"/>
            </w:pPr>
            <w:r/>
            <w:r>
              <w:rPr>
                <w:sz w:val="18"/>
              </w:rPr>
              <w:t>상부:하부 = 50:50</w:t>
            </w:r>
          </w:p>
        </w:tc>
        <w:tc>
          <w:tcPr>
            <w:tcW w:type="dxa" w:w="3969"/>
            <w:shd w:val="clear" w:color="auto" w:fill="F5F5F5"/>
          </w:tcPr>
          <w:p>
            <w:pPr>
              <w:jc w:val="center"/>
            </w:pPr>
            <w:r/>
            <w:r>
              <w:rPr>
                <w:sz w:val="18"/>
              </w:rPr>
              <w:t>균등 분배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sz w:val="18"/>
              </w:rPr>
              <w:t>시뮬레이션 시간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sz w:val="18"/>
              </w:rPr>
              <w:t>330 s</w:t>
            </w:r>
          </w:p>
        </w:tc>
        <w:tc>
          <w:tcPr>
            <w:tcW w:type="dxa" w:w="3969"/>
          </w:tcPr>
          <w:p>
            <w:pPr>
              <w:jc w:val="center"/>
            </w:pPr>
            <w:r/>
            <w:r>
              <w:rPr>
                <w:sz w:val="18"/>
              </w:rPr>
              <w:t>열차 2회 도착 + 잔류 소화</w:t>
            </w:r>
          </w:p>
        </w:tc>
      </w:tr>
    </w:tbl>
    <w:p/>
    <w:p>
      <w:pPr>
        <w:jc w:val="center"/>
      </w:pPr>
      <w:r>
        <w:rPr>
          <w:b/>
        </w:rPr>
        <w:t xml:space="preserve">표 3-8. </w:t>
      </w:r>
      <w:r>
        <w:t>수요 모델 파라미터</w:t>
      </w:r>
    </w:p>
    <w:p>
      <w:pPr>
        <w:pStyle w:val="Heading2"/>
      </w:pPr>
      <w:r>
        <w:t>3.6 시나리오 설계</w:t>
      </w:r>
    </w:p>
    <w:p>
      <w:r>
        <w:t>기본 시나리오 (현행 겸용 운영):</w:t>
      </w:r>
    </w:p>
    <w:p>
      <w:pPr>
        <w:pStyle w:val="ListBullet"/>
      </w:pPr>
      <w:r>
        <w:t>태그리스 하드웨어 설치 게이트 K대를 겸용(태그+태그리스)으로 운영</w:t>
      </w:r>
    </w:p>
    <w:p>
      <w:pPr>
        <w:pStyle w:val="ListBullet"/>
      </w:pPr>
      <w:r>
        <w:t>나머지(7−K)대는 태그 전용 (하드웨어 미설치)</w:t>
      </w:r>
    </w:p>
    <w:p>
      <w:pPr>
        <w:pStyle w:val="ListBullet"/>
      </w:pPr>
      <w:r>
        <w:t>겸용 게이트에서 태그 이용자 정지·탭 → 태그리스 이용자 대기 발생</w:t>
      </w:r>
    </w:p>
    <w:p>
      <w:r>
        <w:t>개선 시나리오 (express lane 전용 운영):</w:t>
      </w:r>
    </w:p>
    <w:p>
      <w:pPr>
        <w:pStyle w:val="ListBullet"/>
      </w:pPr>
      <w:r>
        <w:t>동일 K대를 태그리스 전용(express lane)으로 전환</w:t>
      </w:r>
    </w:p>
    <w:p>
      <w:pPr>
        <w:pStyle w:val="ListBullet"/>
      </w:pPr>
      <w:r>
        <w:t>태그리스 이용자 → 전용 게이트만 이용, 무정차 연속 통과</w:t>
      </w:r>
    </w:p>
    <w:p>
      <w:pPr>
        <w:pStyle w:val="ListBullet"/>
      </w:pPr>
      <w:r>
        <w:t>추가 하드웨어 없이 운영 정책(안내판/SW)만 변경 — 하이패스 전용 차로와 동일 개념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118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요인</w:t>
            </w:r>
          </w:p>
        </w:tc>
        <w:tc>
          <w:tcPr>
            <w:tcW w:type="dxa" w:w="1417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수준</w:t>
            </w:r>
          </w:p>
        </w:tc>
        <w:tc>
          <w:tcPr>
            <w:tcW w:type="dxa" w:w="5102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값</w:t>
            </w:r>
          </w:p>
        </w:tc>
      </w:tr>
      <w:tr>
        <w:tc>
          <w:tcPr>
            <w:tcW w:type="dxa" w:w="3118"/>
          </w:tcPr>
          <w:p>
            <w:pPr>
              <w:jc w:val="center"/>
            </w:pPr>
            <w:r/>
            <w:r>
              <w:rPr>
                <w:sz w:val="18"/>
              </w:rPr>
              <w:t>운영 방식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sz w:val="18"/>
              </w:rPr>
              <w:t>2</w:t>
            </w:r>
          </w:p>
        </w:tc>
        <w:tc>
          <w:tcPr>
            <w:tcW w:type="dxa" w:w="5102"/>
          </w:tcPr>
          <w:p>
            <w:pPr>
              <w:jc w:val="center"/>
            </w:pPr>
            <w:r/>
            <w:r>
              <w:rPr>
                <w:sz w:val="18"/>
              </w:rPr>
              <w:t>겸용 / express lane 분리</w:t>
            </w:r>
          </w:p>
        </w:tc>
      </w:tr>
      <w:tr>
        <w:tc>
          <w:tcPr>
            <w:tcW w:type="dxa" w:w="3118"/>
            <w:shd w:val="clear" w:color="auto" w:fill="F5F5F5"/>
          </w:tcPr>
          <w:p>
            <w:pPr>
              <w:jc w:val="center"/>
            </w:pPr>
            <w:r/>
            <w:r>
              <w:rPr>
                <w:sz w:val="18"/>
              </w:rPr>
              <w:t>태그리스 이용자 비율 (p)</w:t>
            </w:r>
          </w:p>
        </w:tc>
        <w:tc>
          <w:tcPr>
            <w:tcW w:type="dxa" w:w="1417"/>
            <w:shd w:val="clear" w:color="auto" w:fill="F5F5F5"/>
          </w:tcPr>
          <w:p>
            <w:pPr>
              <w:jc w:val="center"/>
            </w:pPr>
            <w:r/>
            <w:r>
              <w:rPr>
                <w:sz w:val="18"/>
              </w:rPr>
              <w:t>5</w:t>
            </w:r>
          </w:p>
        </w:tc>
        <w:tc>
          <w:tcPr>
            <w:tcW w:type="dxa" w:w="5102"/>
            <w:shd w:val="clear" w:color="auto" w:fill="F5F5F5"/>
          </w:tcPr>
          <w:p>
            <w:pPr>
              <w:jc w:val="center"/>
            </w:pPr>
            <w:r/>
            <w:r>
              <w:rPr>
                <w:sz w:val="18"/>
              </w:rPr>
              <w:t>10%, 20%, 40%, 60%, 80%</w:t>
            </w:r>
          </w:p>
        </w:tc>
      </w:tr>
      <w:tr>
        <w:tc>
          <w:tcPr>
            <w:tcW w:type="dxa" w:w="3118"/>
          </w:tcPr>
          <w:p>
            <w:pPr>
              <w:jc w:val="center"/>
            </w:pPr>
            <w:r/>
            <w:r>
              <w:rPr>
                <w:sz w:val="18"/>
              </w:rPr>
              <w:t>태그리스 게이트 수 (K)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sz w:val="18"/>
              </w:rPr>
              <w:t>3</w:t>
            </w:r>
          </w:p>
        </w:tc>
        <w:tc>
          <w:tcPr>
            <w:tcW w:type="dxa" w:w="5102"/>
          </w:tcPr>
          <w:p>
            <w:pPr>
              <w:jc w:val="center"/>
            </w:pPr>
            <w:r/>
            <w:r>
              <w:rPr>
                <w:sz w:val="18"/>
              </w:rPr>
              <w:t>1, 2, 3대</w:t>
            </w:r>
          </w:p>
        </w:tc>
      </w:tr>
      <w:tr>
        <w:tc>
          <w:tcPr>
            <w:tcW w:type="dxa" w:w="3118"/>
            <w:shd w:val="clear" w:color="auto" w:fill="F5F5F5"/>
          </w:tcPr>
          <w:p>
            <w:pPr>
              <w:jc w:val="center"/>
            </w:pPr>
            <w:r/>
            <w:r>
              <w:rPr>
                <w:sz w:val="18"/>
              </w:rPr>
              <w:t>시간대</w:t>
            </w:r>
          </w:p>
        </w:tc>
        <w:tc>
          <w:tcPr>
            <w:tcW w:type="dxa" w:w="1417"/>
            <w:shd w:val="clear" w:color="auto" w:fill="F5F5F5"/>
          </w:tcPr>
          <w:p>
            <w:pPr>
              <w:jc w:val="center"/>
            </w:pPr>
            <w:r/>
            <w:r>
              <w:rPr>
                <w:sz w:val="18"/>
              </w:rPr>
              <w:t>2</w:t>
            </w:r>
          </w:p>
        </w:tc>
        <w:tc>
          <w:tcPr>
            <w:tcW w:type="dxa" w:w="5102"/>
            <w:shd w:val="clear" w:color="auto" w:fill="F5F5F5"/>
          </w:tcPr>
          <w:p>
            <w:pPr>
              <w:jc w:val="center"/>
            </w:pPr>
            <w:r/>
            <w:r>
              <w:rPr>
                <w:sz w:val="18"/>
              </w:rPr>
              <w:t>피크 / 비피크</w:t>
            </w:r>
          </w:p>
        </w:tc>
      </w:tr>
    </w:tbl>
    <w:p/>
    <w:p>
      <w:pPr>
        <w:jc w:val="center"/>
      </w:pPr>
      <w:r>
        <w:rPr>
          <w:b/>
        </w:rPr>
        <w:t xml:space="preserve">표 3-9. </w:t>
      </w:r>
      <w:r>
        <w:t>실험 요인 (2×5×3×2 = 60개 시나리오)</w:t>
      </w:r>
    </w:p>
    <w:p>
      <w:r>
        <w:t>각 시나리오를 N회 반복하여 통계적 유의성 확보. N은 U1 수렴성 분석(ERD &lt; 5%, 3회 연속)으로 결정.</w:t>
      </w:r>
    </w:p>
    <w:p>
      <w:pPr>
        <w:pStyle w:val="Heading2"/>
      </w:pPr>
      <w:r>
        <w:t>3.7 V&amp;V (NIST TN 1822)</w:t>
      </w:r>
    </w:p>
    <w:p>
      <w:r>
        <w:t>NIST TN 1822 6단계 프레임워크 준용:</w:t>
      </w:r>
    </w:p>
    <w:p>
      <w:pPr>
        <w:pStyle w:val="ListBullet"/>
      </w:pPr>
      <w:r>
        <w:t>Phase 1 — Model Qualification: CFSM V2 + MNL 선정 근거 문서화 (4/5 완료)</w:t>
      </w:r>
    </w:p>
    <w:p>
      <w:pPr>
        <w:pStyle w:val="ListBullet"/>
      </w:pPr>
      <w:r>
        <w:t>Phase 2 — Verification: RiMEA 기반 7개 테스트, 6/7 PASS (V5 재측정 예정)</w:t>
      </w:r>
    </w:p>
    <w:p>
      <w:pPr>
        <w:pStyle w:val="ListBullet"/>
      </w:pPr>
      <w:r>
        <w:t>Phase 3 — Calibration: time_gap 1.06→0.80s 완료(C1), 나머지 현장조사 후</w:t>
      </w:r>
    </w:p>
    <w:p>
      <w:pPr>
        <w:pStyle w:val="ListBullet"/>
      </w:pPr>
      <w:r>
        <w:t>Phase 4 — Validation: 우이신설선 비피크 독립 데이터로 비교</w:t>
      </w:r>
    </w:p>
    <w:p>
      <w:pPr>
        <w:pStyle w:val="ListBullet"/>
      </w:pPr>
      <w:r>
        <w:t>Phase 5 — Uncertainty: (U1) 반복 수렴성, (U2) 9개 파라미터 OAT ±20%, (U3) 시나리오 강건성</w:t>
      </w:r>
    </w:p>
    <w:p>
      <w:pPr>
        <w:pStyle w:val="Heading2"/>
      </w:pPr>
      <w:r>
        <w:t>3.8 평가 지표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551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지표</w:t>
            </w:r>
          </w:p>
        </w:tc>
        <w:tc>
          <w:tcPr>
            <w:tcW w:type="dxa" w:w="4819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정의</w:t>
            </w:r>
          </w:p>
        </w:tc>
        <w:tc>
          <w:tcPr>
            <w:tcW w:type="dxa" w:w="2268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단위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sz w:val="18"/>
              </w:rPr>
              <w:t>평균 대기시간</w:t>
            </w:r>
          </w:p>
        </w:tc>
        <w:tc>
          <w:tcPr>
            <w:tcW w:type="dxa" w:w="4819"/>
          </w:tcPr>
          <w:p>
            <w:pPr>
              <w:jc w:val="center"/>
            </w:pPr>
            <w:r/>
            <w:r>
              <w:rPr>
                <w:sz w:val="18"/>
              </w:rPr>
              <w:t>게이트 도착 ~ 서비스 시작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sz w:val="18"/>
              </w:rPr>
              <w:t>초</w:t>
            </w:r>
          </w:p>
        </w:tc>
      </w:tr>
      <w:tr>
        <w:tc>
          <w:tcPr>
            <w:tcW w:type="dxa" w:w="2551"/>
            <w:shd w:val="clear" w:color="auto" w:fill="F5F5F5"/>
          </w:tcPr>
          <w:p>
            <w:pPr>
              <w:jc w:val="center"/>
            </w:pPr>
            <w:r/>
            <w:r>
              <w:rPr>
                <w:sz w:val="18"/>
              </w:rPr>
              <w:t>최대 대기행렬</w:t>
            </w:r>
          </w:p>
        </w:tc>
        <w:tc>
          <w:tcPr>
            <w:tcW w:type="dxa" w:w="4819"/>
            <w:shd w:val="clear" w:color="auto" w:fill="F5F5F5"/>
          </w:tcPr>
          <w:p>
            <w:pPr>
              <w:jc w:val="center"/>
            </w:pPr>
            <w:r/>
            <w:r>
              <w:rPr>
                <w:sz w:val="18"/>
              </w:rPr>
              <w:t>게이트 앞 최대 대기 인원</w:t>
            </w:r>
          </w:p>
        </w:tc>
        <w:tc>
          <w:tcPr>
            <w:tcW w:type="dxa" w:w="2268"/>
            <w:shd w:val="clear" w:color="auto" w:fill="F5F5F5"/>
          </w:tcPr>
          <w:p>
            <w:pPr>
              <w:jc w:val="center"/>
            </w:pPr>
            <w:r/>
            <w:r>
              <w:rPr>
                <w:sz w:val="18"/>
              </w:rPr>
              <w:t>명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sz w:val="18"/>
              </w:rPr>
              <w:t>총 통과시간</w:t>
            </w:r>
          </w:p>
        </w:tc>
        <w:tc>
          <w:tcPr>
            <w:tcW w:type="dxa" w:w="4819"/>
          </w:tcPr>
          <w:p>
            <w:pPr>
              <w:jc w:val="center"/>
            </w:pPr>
            <w:r/>
            <w:r>
              <w:rPr>
                <w:sz w:val="18"/>
              </w:rPr>
              <w:t>계단 출발 ~ 게이트 통과 완료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sz w:val="18"/>
              </w:rPr>
              <w:t>초</w:t>
            </w:r>
          </w:p>
        </w:tc>
      </w:tr>
      <w:tr>
        <w:tc>
          <w:tcPr>
            <w:tcW w:type="dxa" w:w="2551"/>
            <w:shd w:val="clear" w:color="auto" w:fill="F5F5F5"/>
          </w:tcPr>
          <w:p>
            <w:pPr>
              <w:jc w:val="center"/>
            </w:pPr>
            <w:r/>
            <w:r>
              <w:rPr>
                <w:sz w:val="18"/>
              </w:rPr>
              <w:t>게이트 균형도 (MD)</w:t>
            </w:r>
          </w:p>
        </w:tc>
        <w:tc>
          <w:tcPr>
            <w:tcW w:type="dxa" w:w="4819"/>
            <w:shd w:val="clear" w:color="auto" w:fill="F5F5F5"/>
          </w:tcPr>
          <w:p>
            <w:pPr>
              <w:jc w:val="center"/>
            </w:pPr>
            <w:r/>
            <w:r>
              <w:rPr>
                <w:sz w:val="18"/>
              </w:rPr>
              <w:t>게이트별 처리량 평균편차</w:t>
            </w:r>
          </w:p>
        </w:tc>
        <w:tc>
          <w:tcPr>
            <w:tcW w:type="dxa" w:w="2268"/>
            <w:shd w:val="clear" w:color="auto" w:fill="F5F5F5"/>
          </w:tcPr>
          <w:p>
            <w:pPr>
              <w:jc w:val="center"/>
            </w:pPr>
            <w:r/>
            <w:r>
              <w:rPr>
                <w:sz w:val="18"/>
              </w:rPr>
              <w:t>%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sz w:val="18"/>
              </w:rPr>
              <w:t>보행자 밀도 / LOS</w:t>
            </w:r>
          </w:p>
        </w:tc>
        <w:tc>
          <w:tcPr>
            <w:tcW w:type="dxa" w:w="4819"/>
          </w:tcPr>
          <w:p>
            <w:pPr>
              <w:jc w:val="center"/>
            </w:pPr>
            <w:r/>
            <w:r>
              <w:rPr>
                <w:sz w:val="18"/>
              </w:rPr>
              <w:t>게이트-계단 구간 밀도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sz w:val="18"/>
              </w:rPr>
              <w:t>인/m²</w:t>
            </w:r>
          </w:p>
        </w:tc>
      </w:tr>
      <w:tr>
        <w:tc>
          <w:tcPr>
            <w:tcW w:type="dxa" w:w="2551"/>
            <w:shd w:val="clear" w:color="auto" w:fill="F5F5F5"/>
          </w:tcPr>
          <w:p>
            <w:pPr>
              <w:jc w:val="center"/>
            </w:pPr>
            <w:r/>
            <w:r>
              <w:rPr>
                <w:sz w:val="18"/>
              </w:rPr>
              <w:t>처리량</w:t>
            </w:r>
          </w:p>
        </w:tc>
        <w:tc>
          <w:tcPr>
            <w:tcW w:type="dxa" w:w="4819"/>
            <w:shd w:val="clear" w:color="auto" w:fill="F5F5F5"/>
          </w:tcPr>
          <w:p>
            <w:pPr>
              <w:jc w:val="center"/>
            </w:pPr>
            <w:r/>
            <w:r>
              <w:rPr>
                <w:sz w:val="18"/>
              </w:rPr>
              <w:t>단위시간당 게이트 통과 인원</w:t>
            </w:r>
          </w:p>
        </w:tc>
        <w:tc>
          <w:tcPr>
            <w:tcW w:type="dxa" w:w="2268"/>
            <w:shd w:val="clear" w:color="auto" w:fill="F5F5F5"/>
          </w:tcPr>
          <w:p>
            <w:pPr>
              <w:jc w:val="center"/>
            </w:pPr>
            <w:r/>
            <w:r>
              <w:rPr>
                <w:sz w:val="18"/>
              </w:rPr>
              <w:t>person/min</w:t>
            </w:r>
          </w:p>
        </w:tc>
      </w:tr>
    </w:tbl>
    <w:p/>
    <w:p>
      <w:pPr>
        <w:jc w:val="center"/>
      </w:pPr>
      <w:r>
        <w:rPr>
          <w:b/>
        </w:rPr>
        <w:t xml:space="preserve">표 3-10. </w:t>
      </w:r>
      <w:r>
        <w:t>평가 지표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맑은 고딕" w:hAnsi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맑은 고딕" w:hAnsi="맑은 고딕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