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7984" w14:textId="77777777" w:rsidR="003A287E" w:rsidRDefault="003A287E" w:rsidP="003A287E">
      <w:r>
        <w:t>1.</w:t>
      </w:r>
      <w:r>
        <w:tab/>
      </w:r>
      <w:proofErr w:type="spellStart"/>
      <w:r>
        <w:t>Scarpignato</w:t>
      </w:r>
      <w:proofErr w:type="spellEnd"/>
      <w:r>
        <w:t xml:space="preserve"> C, Gatta L, Zullo A, </w:t>
      </w:r>
      <w:proofErr w:type="spellStart"/>
      <w:r>
        <w:t>Blandizzi</w:t>
      </w:r>
      <w:proofErr w:type="spellEnd"/>
      <w:r>
        <w:t xml:space="preserve"> C, </w:t>
      </w:r>
      <w:proofErr w:type="spellStart"/>
      <w:r>
        <w:t>Scarpignato</w:t>
      </w:r>
      <w:proofErr w:type="spellEnd"/>
      <w:r>
        <w:t xml:space="preserve"> C, </w:t>
      </w:r>
      <w:proofErr w:type="spellStart"/>
      <w:r>
        <w:t>Blandizzi</w:t>
      </w:r>
      <w:proofErr w:type="spellEnd"/>
      <w:r>
        <w:t xml:space="preserve"> C, et al. Effective and safe proton pump inhibitor therapy in acid-related diseases – A position paper addressing benefits and potential harms of acid suppression. BMC Med. 2016 Nov 9;14(1):179. doi:10.1186/s12916-016-0718-z</w:t>
      </w:r>
    </w:p>
    <w:p w14:paraId="4985B67D" w14:textId="77777777" w:rsidR="003A287E" w:rsidRDefault="003A287E" w:rsidP="003A287E">
      <w:r>
        <w:t>2.</w:t>
      </w:r>
      <w:r>
        <w:tab/>
      </w:r>
      <w:proofErr w:type="spellStart"/>
      <w:r>
        <w:t>Dharmarajan</w:t>
      </w:r>
      <w:proofErr w:type="spellEnd"/>
      <w:r>
        <w:t xml:space="preserve"> TS. The Use and Misuse of Proton Pump Inhibitors: An Opportunity for Deprescribing. J Am Med Dir Assoc. 2021 Jan 1;22(1):15–22. </w:t>
      </w:r>
      <w:proofErr w:type="gramStart"/>
      <w:r>
        <w:t>doi:10.1016/j.jamda</w:t>
      </w:r>
      <w:proofErr w:type="gramEnd"/>
      <w:r>
        <w:t>.2020.09.046 PubMed PMID: 33321078.</w:t>
      </w:r>
    </w:p>
    <w:p w14:paraId="29B6A4B7" w14:textId="77777777" w:rsidR="003A287E" w:rsidRDefault="003A287E" w:rsidP="003A287E">
      <w:r>
        <w:t>3.</w:t>
      </w:r>
      <w:r>
        <w:tab/>
      </w:r>
      <w:proofErr w:type="spellStart"/>
      <w:r>
        <w:t>Fohl</w:t>
      </w:r>
      <w:proofErr w:type="spellEnd"/>
      <w:r>
        <w:t xml:space="preserve"> AL, Regal RE. Proton pump inhibitor-associated pneumonia: Not a breath of fresh air after all? World J </w:t>
      </w:r>
      <w:proofErr w:type="spellStart"/>
      <w:r>
        <w:t>Gastrointest</w:t>
      </w:r>
      <w:proofErr w:type="spellEnd"/>
      <w:r>
        <w:t xml:space="preserve"> Pharmacol </w:t>
      </w:r>
      <w:proofErr w:type="spellStart"/>
      <w:r>
        <w:t>Ther</w:t>
      </w:r>
      <w:proofErr w:type="spellEnd"/>
      <w:r>
        <w:t>. 2011 Jun 6;2(3):17–26. doi:10.4292/</w:t>
      </w:r>
      <w:proofErr w:type="gramStart"/>
      <w:r>
        <w:t>wjgpt.v</w:t>
      </w:r>
      <w:proofErr w:type="gramEnd"/>
      <w:r>
        <w:t>2.i3.17</w:t>
      </w:r>
    </w:p>
    <w:p w14:paraId="5ED9C902" w14:textId="77777777" w:rsidR="003A287E" w:rsidRDefault="003A287E" w:rsidP="003A287E">
      <w:r>
        <w:t>4.</w:t>
      </w:r>
      <w:r>
        <w:tab/>
      </w:r>
      <w:proofErr w:type="spellStart"/>
      <w:r>
        <w:t>Fattahi</w:t>
      </w:r>
      <w:proofErr w:type="spellEnd"/>
      <w:r>
        <w:t xml:space="preserve"> MR, </w:t>
      </w:r>
      <w:proofErr w:type="spellStart"/>
      <w:r>
        <w:t>Niknam</w:t>
      </w:r>
      <w:proofErr w:type="spellEnd"/>
      <w:r>
        <w:t xml:space="preserve"> R, Shams M, </w:t>
      </w:r>
      <w:proofErr w:type="spellStart"/>
      <w:r>
        <w:t>Anushiravani</w:t>
      </w:r>
      <w:proofErr w:type="spellEnd"/>
      <w:r>
        <w:t xml:space="preserve"> A, </w:t>
      </w:r>
      <w:proofErr w:type="spellStart"/>
      <w:r>
        <w:t>Taghavi</w:t>
      </w:r>
      <w:proofErr w:type="spellEnd"/>
      <w:r>
        <w:t xml:space="preserve"> SA, </w:t>
      </w:r>
      <w:proofErr w:type="spellStart"/>
      <w:r>
        <w:t>Omrani</w:t>
      </w:r>
      <w:proofErr w:type="spellEnd"/>
      <w:r>
        <w:t xml:space="preserve"> GR, et al. The Association Between Prolonged Proton Pump Inhibitors Use and Bone Mineral Density. Risk </w:t>
      </w:r>
      <w:proofErr w:type="spellStart"/>
      <w:r>
        <w:t>Manag</w:t>
      </w:r>
      <w:proofErr w:type="spellEnd"/>
      <w:r>
        <w:t xml:space="preserve"> </w:t>
      </w:r>
      <w:proofErr w:type="spellStart"/>
      <w:r>
        <w:t>Healthc</w:t>
      </w:r>
      <w:proofErr w:type="spellEnd"/>
      <w:r>
        <w:t xml:space="preserve"> Policy. </w:t>
      </w:r>
      <w:proofErr w:type="gramStart"/>
      <w:r>
        <w:t>2019;12:349</w:t>
      </w:r>
      <w:proofErr w:type="gramEnd"/>
      <w:r>
        <w:t>–55. doi:10.2147/RMHP.S223118 PubMed PMID: 31853206; PubMed Central PMCID: PMC6914803.</w:t>
      </w:r>
    </w:p>
    <w:p w14:paraId="18A54765" w14:textId="64014B55" w:rsidR="00A54EDE" w:rsidRDefault="003A287E" w:rsidP="003A287E">
      <w:r w:rsidRPr="003A287E">
        <w:rPr>
          <w:lang w:val="sv-SE"/>
        </w:rPr>
        <w:t>5.</w:t>
      </w:r>
      <w:r w:rsidRPr="003A287E">
        <w:rPr>
          <w:lang w:val="sv-SE"/>
        </w:rPr>
        <w:tab/>
        <w:t xml:space="preserve">Zhang Y, Liang M, Sun C, Song EJ, Cheng C, Shi T, et al. </w:t>
      </w:r>
      <w:r>
        <w:t>Proton pump inhibitors use and dementia risk: a meta-analysis of cohort studies. Eur J Clin Pharmacol. 2020 Feb;76(2):139–47. doi:10.1007/s00228-019-02753-7 PubMed PMID: 31748819.</w:t>
      </w:r>
    </w:p>
    <w:sectPr w:rsidR="00A5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7E"/>
    <w:rsid w:val="000656F4"/>
    <w:rsid w:val="0020079A"/>
    <w:rsid w:val="003A287E"/>
    <w:rsid w:val="00A5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DB4D8"/>
  <w15:chartTrackingRefBased/>
  <w15:docId w15:val="{E2C5D5B4-2634-4C4B-99B1-86F9C37B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 Langen</dc:creator>
  <cp:keywords/>
  <dc:description/>
  <cp:lastModifiedBy>Ville Langen</cp:lastModifiedBy>
  <cp:revision>1</cp:revision>
  <dcterms:created xsi:type="dcterms:W3CDTF">2026-05-13T13:05:00Z</dcterms:created>
  <dcterms:modified xsi:type="dcterms:W3CDTF">2026-05-13T13:05:00Z</dcterms:modified>
</cp:coreProperties>
</file>