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6FB5"/>
          <w:sz w:val="22"/>
        </w:rPr>
        <w:t>PHASE 1 — BUSINESS UNDERSTANDING</w:t>
      </w:r>
    </w:p>
    <w:p>
      <w:r>
        <w:rPr>
          <w:rFonts w:ascii="Calibri" w:hAnsi="Calibri"/>
          <w:b/>
          <w:color w:val="0B2A4A"/>
          <w:sz w:val="56"/>
        </w:rPr>
        <w:t>Customer Segmentation &amp;</w:t>
        <w:br/>
        <w:t>CRM Intelligence Platform</w:t>
      </w:r>
    </w:p>
    <w:p>
      <w:r>
        <w:rPr>
          <w:rFonts w:ascii="Calibri" w:hAnsi="Calibri"/>
          <w:i/>
          <w:color w:val="555B66"/>
          <w:sz w:val="24"/>
        </w:rPr>
        <w:t>A consulting-grade portfolio project — Data Analyst / Data Scientist track</w:t>
      </w:r>
    </w:p>
    <w:p>
      <w:pPr>
        <w:pBdr>
          <w:bottom w:val="single" w:sz="6" w:space="1" w:color="1F6FB5"/>
        </w:pBdr>
      </w:pPr>
    </w:p>
    <w:p>
      <w:r>
        <w:rPr>
          <w:rFonts w:ascii="Calibri" w:hAnsi="Calibri"/>
          <w:b w:val="0"/>
          <w:i w:val="0"/>
          <w:color w:val="555B66"/>
          <w:sz w:val="20"/>
        </w:rPr>
        <w:t>Phase Owner:  Business Analyst → Data Scientist</w:t>
      </w:r>
    </w:p>
    <w:p>
      <w:r>
        <w:rPr>
          <w:rFonts w:ascii="Calibri" w:hAnsi="Calibri"/>
          <w:b w:val="0"/>
          <w:i w:val="0"/>
          <w:color w:val="555B66"/>
          <w:sz w:val="20"/>
        </w:rPr>
        <w:t>Status:  ✅ Phase 1 Complete</w:t>
      </w:r>
    </w:p>
    <w:p>
      <w:r>
        <w:rPr>
          <w:rFonts w:ascii="Calibri" w:hAnsi="Calibri"/>
          <w:b w:val="0"/>
          <w:i w:val="0"/>
          <w:color w:val="555B66"/>
          <w:sz w:val="20"/>
        </w:rPr>
        <w:t>Document Version:  1.0</w:t>
      </w:r>
    </w:p>
    <w:p/>
    <w:p>
      <w:pPr>
        <w:pStyle w:val="Heading1"/>
      </w:pPr>
      <w:r>
        <w:rPr>
          <w:rFonts w:ascii="Calibri" w:hAnsi="Calibri"/>
          <w:color w:val="0B2A4A"/>
        </w:rPr>
        <w:t>1. Executive Summary</w:t>
      </w:r>
    </w:p>
    <w:p>
      <w:r>
        <w:rPr>
          <w:rFonts w:ascii="Calibri" w:hAnsi="Calibri"/>
          <w:b w:val="0"/>
          <w:i w:val="0"/>
          <w:sz w:val="22"/>
        </w:rPr>
        <w:t>Modern retail and consumer-platform companies generate massive volumes of transactional data, yet most marketing decisions are still made on gut feel, simple aggregate metrics, or one-size-fits-all campaigns. The result is predictable: marketing budgets are over-spent on customers who would have bought anyway, high-value customers churn quietly, and CRM systems sit on top of data they cannot operationalize.</w:t>
      </w:r>
    </w:p>
    <w:p>
      <w:r>
        <w:rPr>
          <w:rFonts w:ascii="Calibri" w:hAnsi="Calibri"/>
          <w:b w:val="0"/>
          <w:i w:val="0"/>
          <w:sz w:val="22"/>
        </w:rPr>
        <w:t>This project simulates a consulting engagement with a mid-size online retailer — the type of client served across Retail, Fashion, Beauty, and Platform businesses — and builds a Customer Segmentation &amp; CRM Intelligence Platform that transforms raw transaction data into:</w:t>
      </w:r>
    </w:p>
    <w:p>
      <w:pPr>
        <w:pStyle w:val="ListBullet"/>
        <w:ind w:left="360"/>
      </w:pPr>
      <w:r>
        <w:rPr>
          <w:rFonts w:ascii="Calibri" w:hAnsi="Calibri"/>
          <w:sz w:val="22"/>
        </w:rPr>
        <w:t>A quantified understanding of who the most valuable customers are</w:t>
      </w:r>
    </w:p>
    <w:p>
      <w:pPr>
        <w:pStyle w:val="ListBullet"/>
        <w:ind w:left="360"/>
      </w:pPr>
      <w:r>
        <w:rPr>
          <w:rFonts w:ascii="Calibri" w:hAnsi="Calibri"/>
          <w:sz w:val="22"/>
        </w:rPr>
        <w:t>Which customers are at risk of churn</w:t>
      </w:r>
    </w:p>
    <w:p>
      <w:pPr>
        <w:pStyle w:val="ListBullet"/>
        <w:ind w:left="360"/>
      </w:pPr>
      <w:r>
        <w:rPr>
          <w:rFonts w:ascii="Calibri" w:hAnsi="Calibri"/>
          <w:sz w:val="22"/>
        </w:rPr>
        <w:t>What marketing actions to take for each segment</w:t>
      </w:r>
    </w:p>
    <w:p>
      <w:pPr>
        <w:pStyle w:val="ListBullet"/>
        <w:ind w:left="360"/>
      </w:pPr>
      <w:r>
        <w:rPr>
          <w:rFonts w:ascii="Calibri" w:hAnsi="Calibri"/>
          <w:sz w:val="22"/>
        </w:rPr>
        <w:t>An AI Marketing Insights Agent that converts these analytics into executive-ready recommendations on demand</w:t>
      </w:r>
    </w:p>
    <w:p>
      <w:r>
        <w:rPr>
          <w:rFonts w:ascii="Calibri" w:hAnsi="Calibri"/>
          <w:b/>
          <w:i w:val="0"/>
          <w:color w:val="0B2A4A"/>
          <w:sz w:val="22"/>
        </w:rPr>
        <w:t>The deliverable is not a model — it is a decision system.</w:t>
      </w:r>
    </w:p>
    <w:p>
      <w:pPr>
        <w:pStyle w:val="Heading1"/>
      </w:pPr>
      <w:r>
        <w:rPr>
          <w:rFonts w:ascii="Calibri" w:hAnsi="Calibri"/>
          <w:color w:val="0B2A4A"/>
        </w:rPr>
        <w:t>2. Business Problem Definition</w:t>
      </w:r>
    </w:p>
    <w:p>
      <w:pPr>
        <w:pStyle w:val="Heading2"/>
      </w:pPr>
      <w:r>
        <w:rPr>
          <w:rFonts w:ascii="Calibri" w:hAnsi="Calibri"/>
          <w:color w:val="0B2A4A"/>
        </w:rPr>
        <w:t>2.1 The Client (Simulated)</w:t>
      </w:r>
    </w:p>
    <w:p>
      <w:r>
        <w:rPr>
          <w:rFonts w:ascii="Calibri" w:hAnsi="Calibri"/>
          <w:b w:val="0"/>
          <w:i w:val="0"/>
          <w:sz w:val="22"/>
        </w:rPr>
        <w:t>A UK-based online retail company operating across 38 countries, primarily selling gift and homeware products to a mix of B2C consumers and small B2B resellers. Annual transaction volume exceeds 500,000 line items across roughly 4,300 unique customers.</w:t>
      </w:r>
    </w:p>
    <w:p>
      <w:pPr>
        <w:pStyle w:val="Heading2"/>
      </w:pPr>
      <w:r>
        <w:rPr>
          <w:rFonts w:ascii="Calibri" w:hAnsi="Calibri"/>
          <w:color w:val="0B2A4A"/>
        </w:rPr>
        <w:t>2.2 The Pain Point</w:t>
      </w:r>
    </w:p>
    <w:p>
      <w:r>
        <w:rPr>
          <w:rFonts w:ascii="Calibri" w:hAnsi="Calibri"/>
          <w:b w:val="0"/>
          <w:i w:val="0"/>
          <w:sz w:val="22"/>
        </w:rPr>
        <w:t>The marketing and CRM teams cannot answer the following questions with confidence:</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0B2A4A"/>
            <w:vAlign w:val="center"/>
          </w:tcPr>
          <w:p>
            <w:r/>
            <w:r>
              <w:rPr>
                <w:rFonts w:ascii="Calibri" w:hAnsi="Calibri"/>
                <w:b/>
                <w:color w:val="FFFFFF"/>
                <w:sz w:val="21"/>
              </w:rPr>
              <w:t>#</w:t>
            </w:r>
          </w:p>
        </w:tc>
        <w:tc>
          <w:tcPr>
            <w:tcW w:type="dxa" w:w="2436"/>
            <w:shd w:val="clear" w:color="auto" w:fill="0B2A4A"/>
            <w:vAlign w:val="center"/>
          </w:tcPr>
          <w:p>
            <w:r/>
            <w:r>
              <w:rPr>
                <w:rFonts w:ascii="Calibri" w:hAnsi="Calibri"/>
                <w:b/>
                <w:color w:val="FFFFFF"/>
                <w:sz w:val="21"/>
              </w:rPr>
              <w:t>Business Question</w:t>
            </w:r>
          </w:p>
        </w:tc>
        <w:tc>
          <w:tcPr>
            <w:tcW w:type="dxa" w:w="2436"/>
            <w:shd w:val="clear" w:color="auto" w:fill="0B2A4A"/>
            <w:vAlign w:val="center"/>
          </w:tcPr>
          <w:p>
            <w:r/>
            <w:r>
              <w:rPr>
                <w:rFonts w:ascii="Calibri" w:hAnsi="Calibri"/>
                <w:b/>
                <w:color w:val="FFFFFF"/>
                <w:sz w:val="21"/>
              </w:rPr>
              <w:t>Current State</w:t>
            </w:r>
          </w:p>
        </w:tc>
        <w:tc>
          <w:tcPr>
            <w:tcW w:type="dxa" w:w="2436"/>
            <w:shd w:val="clear" w:color="auto" w:fill="0B2A4A"/>
            <w:vAlign w:val="center"/>
          </w:tcPr>
          <w:p>
            <w:r/>
            <w:r>
              <w:rPr>
                <w:rFonts w:ascii="Calibri" w:hAnsi="Calibri"/>
                <w:b/>
                <w:color w:val="FFFFFF"/>
                <w:sz w:val="21"/>
              </w:rPr>
              <w:t>Cost of Inaction</w:t>
            </w:r>
          </w:p>
        </w:tc>
      </w:tr>
      <w:tr>
        <w:tc>
          <w:tcPr>
            <w:tcW w:type="dxa" w:w="2436"/>
            <w:vAlign w:val="center"/>
          </w:tcPr>
          <w:p>
            <w:r/>
            <w:r>
              <w:rPr>
                <w:rFonts w:ascii="Calibri" w:hAnsi="Calibri"/>
                <w:sz w:val="20"/>
              </w:rPr>
              <w:t>Q1</w:t>
            </w:r>
          </w:p>
        </w:tc>
        <w:tc>
          <w:tcPr>
            <w:tcW w:type="dxa" w:w="2436"/>
            <w:vAlign w:val="center"/>
          </w:tcPr>
          <w:p>
            <w:r/>
            <w:r>
              <w:rPr>
                <w:rFonts w:ascii="Calibri" w:hAnsi="Calibri"/>
                <w:sz w:val="20"/>
              </w:rPr>
              <w:t>Who are our most valuable customers?</w:t>
            </w:r>
          </w:p>
        </w:tc>
        <w:tc>
          <w:tcPr>
            <w:tcW w:type="dxa" w:w="2436"/>
            <w:vAlign w:val="center"/>
          </w:tcPr>
          <w:p>
            <w:r/>
            <w:r>
              <w:rPr>
                <w:rFonts w:ascii="Calibri" w:hAnsi="Calibri"/>
                <w:sz w:val="20"/>
              </w:rPr>
              <w:t>Anecdotal — sales-rep memory</w:t>
            </w:r>
          </w:p>
        </w:tc>
        <w:tc>
          <w:tcPr>
            <w:tcW w:type="dxa" w:w="2436"/>
            <w:vAlign w:val="center"/>
          </w:tcPr>
          <w:p>
            <w:r/>
            <w:r>
              <w:rPr>
                <w:rFonts w:ascii="Calibri" w:hAnsi="Calibri"/>
                <w:sz w:val="20"/>
              </w:rPr>
              <w:t>Top customers treated like one-time buyers</w:t>
            </w:r>
          </w:p>
        </w:tc>
      </w:tr>
      <w:tr>
        <w:tc>
          <w:tcPr>
            <w:tcW w:type="dxa" w:w="2436"/>
            <w:shd w:val="clear" w:color="auto" w:fill="F2F5F9"/>
            <w:vAlign w:val="center"/>
          </w:tcPr>
          <w:p>
            <w:r/>
            <w:r>
              <w:rPr>
                <w:rFonts w:ascii="Calibri" w:hAnsi="Calibri"/>
                <w:sz w:val="20"/>
              </w:rPr>
              <w:t>Q2</w:t>
            </w:r>
          </w:p>
        </w:tc>
        <w:tc>
          <w:tcPr>
            <w:tcW w:type="dxa" w:w="2436"/>
            <w:shd w:val="clear" w:color="auto" w:fill="F2F5F9"/>
            <w:vAlign w:val="center"/>
          </w:tcPr>
          <w:p>
            <w:r/>
            <w:r>
              <w:rPr>
                <w:rFonts w:ascii="Calibri" w:hAnsi="Calibri"/>
                <w:sz w:val="20"/>
              </w:rPr>
              <w:t>Which customers are about to churn?</w:t>
            </w:r>
          </w:p>
        </w:tc>
        <w:tc>
          <w:tcPr>
            <w:tcW w:type="dxa" w:w="2436"/>
            <w:shd w:val="clear" w:color="auto" w:fill="F2F5F9"/>
            <w:vAlign w:val="center"/>
          </w:tcPr>
          <w:p>
            <w:r/>
            <w:r>
              <w:rPr>
                <w:rFonts w:ascii="Calibri" w:hAnsi="Calibri"/>
                <w:sz w:val="20"/>
              </w:rPr>
              <w:t>No early warning system</w:t>
            </w:r>
          </w:p>
        </w:tc>
        <w:tc>
          <w:tcPr>
            <w:tcW w:type="dxa" w:w="2436"/>
            <w:shd w:val="clear" w:color="auto" w:fill="F2F5F9"/>
            <w:vAlign w:val="center"/>
          </w:tcPr>
          <w:p>
            <w:r/>
            <w:r>
              <w:rPr>
                <w:rFonts w:ascii="Calibri" w:hAnsi="Calibri"/>
                <w:sz w:val="20"/>
              </w:rPr>
              <w:t>Reactive win-back is 5–7× more expensive</w:t>
            </w:r>
          </w:p>
        </w:tc>
      </w:tr>
      <w:tr>
        <w:tc>
          <w:tcPr>
            <w:tcW w:type="dxa" w:w="2436"/>
            <w:vAlign w:val="center"/>
          </w:tcPr>
          <w:p>
            <w:r/>
            <w:r>
              <w:rPr>
                <w:rFonts w:ascii="Calibri" w:hAnsi="Calibri"/>
                <w:sz w:val="20"/>
              </w:rPr>
              <w:t>Q3</w:t>
            </w:r>
          </w:p>
        </w:tc>
        <w:tc>
          <w:tcPr>
            <w:tcW w:type="dxa" w:w="2436"/>
            <w:vAlign w:val="center"/>
          </w:tcPr>
          <w:p>
            <w:r/>
            <w:r>
              <w:rPr>
                <w:rFonts w:ascii="Calibri" w:hAnsi="Calibri"/>
                <w:sz w:val="20"/>
              </w:rPr>
              <w:t>Which customers deserve VIP treatment?</w:t>
            </w:r>
          </w:p>
        </w:tc>
        <w:tc>
          <w:tcPr>
            <w:tcW w:type="dxa" w:w="2436"/>
            <w:vAlign w:val="center"/>
          </w:tcPr>
          <w:p>
            <w:r/>
            <w:r>
              <w:rPr>
                <w:rFonts w:ascii="Calibri" w:hAnsi="Calibri"/>
                <w:sz w:val="20"/>
              </w:rPr>
              <w:t>Flat loyalty program, no tiers</w:t>
            </w:r>
          </w:p>
        </w:tc>
        <w:tc>
          <w:tcPr>
            <w:tcW w:type="dxa" w:w="2436"/>
            <w:vAlign w:val="center"/>
          </w:tcPr>
          <w:p>
            <w:r/>
            <w:r>
              <w:rPr>
                <w:rFonts w:ascii="Calibri" w:hAnsi="Calibri"/>
                <w:sz w:val="20"/>
              </w:rPr>
              <w:t>VIPs under-appreciated; budget sprayed evenly</w:t>
            </w:r>
          </w:p>
        </w:tc>
      </w:tr>
      <w:tr>
        <w:tc>
          <w:tcPr>
            <w:tcW w:type="dxa" w:w="2436"/>
            <w:shd w:val="clear" w:color="auto" w:fill="F2F5F9"/>
            <w:vAlign w:val="center"/>
          </w:tcPr>
          <w:p>
            <w:r/>
            <w:r>
              <w:rPr>
                <w:rFonts w:ascii="Calibri" w:hAnsi="Calibri"/>
                <w:sz w:val="20"/>
              </w:rPr>
              <w:t>Q4</w:t>
            </w:r>
          </w:p>
        </w:tc>
        <w:tc>
          <w:tcPr>
            <w:tcW w:type="dxa" w:w="2436"/>
            <w:shd w:val="clear" w:color="auto" w:fill="F2F5F9"/>
            <w:vAlign w:val="center"/>
          </w:tcPr>
          <w:p>
            <w:r/>
            <w:r>
              <w:rPr>
                <w:rFonts w:ascii="Calibri" w:hAnsi="Calibri"/>
                <w:sz w:val="20"/>
              </w:rPr>
              <w:t>What message should each customer receive?</w:t>
            </w:r>
          </w:p>
        </w:tc>
        <w:tc>
          <w:tcPr>
            <w:tcW w:type="dxa" w:w="2436"/>
            <w:shd w:val="clear" w:color="auto" w:fill="F2F5F9"/>
            <w:vAlign w:val="center"/>
          </w:tcPr>
          <w:p>
            <w:r/>
            <w:r>
              <w:rPr>
                <w:rFonts w:ascii="Calibri" w:hAnsi="Calibri"/>
                <w:sz w:val="20"/>
              </w:rPr>
              <w:t>Single bulk newsletter</w:t>
            </w:r>
          </w:p>
        </w:tc>
        <w:tc>
          <w:tcPr>
            <w:tcW w:type="dxa" w:w="2436"/>
            <w:shd w:val="clear" w:color="auto" w:fill="F2F5F9"/>
            <w:vAlign w:val="center"/>
          </w:tcPr>
          <w:p>
            <w:r/>
            <w:r>
              <w:rPr>
                <w:rFonts w:ascii="Calibri" w:hAnsi="Calibri"/>
                <w:sz w:val="20"/>
              </w:rPr>
              <w:t>Engagement decays; unsubscribes rise</w:t>
            </w:r>
          </w:p>
        </w:tc>
      </w:tr>
      <w:tr>
        <w:tc>
          <w:tcPr>
            <w:tcW w:type="dxa" w:w="2436"/>
            <w:vAlign w:val="center"/>
          </w:tcPr>
          <w:p>
            <w:r/>
            <w:r>
              <w:rPr>
                <w:rFonts w:ascii="Calibri" w:hAnsi="Calibri"/>
                <w:sz w:val="20"/>
              </w:rPr>
              <w:t>Q5</w:t>
            </w:r>
          </w:p>
        </w:tc>
        <w:tc>
          <w:tcPr>
            <w:tcW w:type="dxa" w:w="2436"/>
            <w:vAlign w:val="center"/>
          </w:tcPr>
          <w:p>
            <w:r/>
            <w:r>
              <w:rPr>
                <w:rFonts w:ascii="Calibri" w:hAnsi="Calibri"/>
                <w:sz w:val="20"/>
              </w:rPr>
              <w:t>What is the ROI of our CRM investments?</w:t>
            </w:r>
          </w:p>
        </w:tc>
        <w:tc>
          <w:tcPr>
            <w:tcW w:type="dxa" w:w="2436"/>
            <w:vAlign w:val="center"/>
          </w:tcPr>
          <w:p>
            <w:r/>
            <w:r>
              <w:rPr>
                <w:rFonts w:ascii="Calibri" w:hAnsi="Calibri"/>
                <w:sz w:val="20"/>
              </w:rPr>
              <w:t>Not measurable at segment level</w:t>
            </w:r>
          </w:p>
        </w:tc>
        <w:tc>
          <w:tcPr>
            <w:tcW w:type="dxa" w:w="2436"/>
            <w:vAlign w:val="center"/>
          </w:tcPr>
          <w:p>
            <w:r/>
            <w:r>
              <w:rPr>
                <w:rFonts w:ascii="Calibri" w:hAnsi="Calibri"/>
                <w:sz w:val="20"/>
              </w:rPr>
              <w:t>Finance challenges marketing budget annually</w:t>
            </w:r>
          </w:p>
        </w:tc>
      </w:tr>
      <w:tr>
        <w:tc>
          <w:tcPr>
            <w:tcW w:type="dxa" w:w="2436"/>
            <w:shd w:val="clear" w:color="auto" w:fill="F2F5F9"/>
            <w:vAlign w:val="center"/>
          </w:tcPr>
          <w:p>
            <w:r/>
            <w:r>
              <w:rPr>
                <w:rFonts w:ascii="Calibri" w:hAnsi="Calibri"/>
                <w:sz w:val="20"/>
              </w:rPr>
              <w:t>Q6</w:t>
            </w:r>
          </w:p>
        </w:tc>
        <w:tc>
          <w:tcPr>
            <w:tcW w:type="dxa" w:w="2436"/>
            <w:shd w:val="clear" w:color="auto" w:fill="F2F5F9"/>
            <w:vAlign w:val="center"/>
          </w:tcPr>
          <w:p>
            <w:r/>
            <w:r>
              <w:rPr>
                <w:rFonts w:ascii="Calibri" w:hAnsi="Calibri"/>
                <w:sz w:val="20"/>
              </w:rPr>
              <w:t>How do we grow revenue without more acquisition?</w:t>
            </w:r>
          </w:p>
        </w:tc>
        <w:tc>
          <w:tcPr>
            <w:tcW w:type="dxa" w:w="2436"/>
            <w:shd w:val="clear" w:color="auto" w:fill="F2F5F9"/>
            <w:vAlign w:val="center"/>
          </w:tcPr>
          <w:p>
            <w:r/>
            <w:r>
              <w:rPr>
                <w:rFonts w:ascii="Calibri" w:hAnsi="Calibri"/>
                <w:sz w:val="20"/>
              </w:rPr>
              <w:t>Acquisition-only growth strategy</w:t>
            </w:r>
          </w:p>
        </w:tc>
        <w:tc>
          <w:tcPr>
            <w:tcW w:type="dxa" w:w="2436"/>
            <w:shd w:val="clear" w:color="auto" w:fill="F2F5F9"/>
            <w:vAlign w:val="center"/>
          </w:tcPr>
          <w:p>
            <w:r/>
            <w:r>
              <w:rPr>
                <w:rFonts w:ascii="Calibri" w:hAnsi="Calibri"/>
                <w:sz w:val="20"/>
              </w:rPr>
              <w:t>CAC rises while existing-customer LTV is untapped</w:t>
            </w:r>
          </w:p>
        </w:tc>
      </w:tr>
    </w:tbl>
    <w:p>
      <w:pPr>
        <w:pStyle w:val="Heading2"/>
      </w:pPr>
      <w:r>
        <w:rPr>
          <w:rFonts w:ascii="Calibri" w:hAnsi="Calibri"/>
          <w:color w:val="0B2A4A"/>
        </w:rPr>
        <w:t>2.3 The Strategic Framing</w:t>
      </w:r>
    </w:p>
    <w:p>
      <w:r>
        <w:rPr>
          <w:rFonts w:ascii="Calibri" w:hAnsi="Calibri"/>
          <w:b/>
          <w:i/>
          <w:color w:val="0B2A4A"/>
          <w:sz w:val="22"/>
        </w:rPr>
        <w:t>"The company does not have a customer acquisition problem. It has a customer intelligence problem."</w:t>
      </w:r>
    </w:p>
    <w:p>
      <w:r>
        <w:rPr>
          <w:rFonts w:ascii="Calibri" w:hAnsi="Calibri"/>
          <w:b w:val="0"/>
          <w:i w:val="0"/>
          <w:sz w:val="22"/>
        </w:rPr>
        <w:t>This re-framing shifts the conversation from spending more on ads to extracting more value from existing customers — which is where CRM analytics creates the highest ROI.</w:t>
      </w:r>
    </w:p>
    <w:p>
      <w:pPr>
        <w:pStyle w:val="Heading2"/>
      </w:pPr>
      <w:r>
        <w:rPr>
          <w:rFonts w:ascii="Calibri" w:hAnsi="Calibri"/>
          <w:color w:val="0B2A4A"/>
        </w:rPr>
        <w:t>2.4 Scope</w:t>
      </w:r>
    </w:p>
    <w:p>
      <w:r>
        <w:rPr>
          <w:rFonts w:ascii="Calibri" w:hAnsi="Calibri"/>
          <w:b/>
          <w:i w:val="0"/>
          <w:sz w:val="22"/>
        </w:rPr>
        <w:t>In scope:</w:t>
      </w:r>
    </w:p>
    <w:p>
      <w:pPr>
        <w:pStyle w:val="ListBullet"/>
        <w:ind w:left="360"/>
      </w:pPr>
      <w:r>
        <w:rPr>
          <w:rFonts w:ascii="Calibri" w:hAnsi="Calibri"/>
          <w:sz w:val="22"/>
        </w:rPr>
        <w:t>Transactional data analysis (UCI Online Retail dataset, Dec 2010 – Dec 2011)</w:t>
      </w:r>
    </w:p>
    <w:p>
      <w:pPr>
        <w:pStyle w:val="ListBullet"/>
        <w:ind w:left="360"/>
      </w:pPr>
      <w:r>
        <w:rPr>
          <w:rFonts w:ascii="Calibri" w:hAnsi="Calibri"/>
          <w:sz w:val="22"/>
        </w:rPr>
        <w:t>Customer segmentation and CRM-tier design</w:t>
      </w:r>
    </w:p>
    <w:p>
      <w:pPr>
        <w:pStyle w:val="ListBullet"/>
        <w:ind w:left="360"/>
      </w:pPr>
      <w:r>
        <w:rPr>
          <w:rFonts w:ascii="Calibri" w:hAnsi="Calibri"/>
          <w:sz w:val="22"/>
        </w:rPr>
        <w:t>Marketing action recommendations per segment</w:t>
      </w:r>
    </w:p>
    <w:p>
      <w:pPr>
        <w:pStyle w:val="ListBullet"/>
        <w:ind w:left="360"/>
      </w:pPr>
      <w:r>
        <w:rPr>
          <w:rFonts w:ascii="Calibri" w:hAnsi="Calibri"/>
          <w:sz w:val="22"/>
        </w:rPr>
        <w:t>AI-assisted executive reporting layer</w:t>
      </w:r>
    </w:p>
    <w:p>
      <w:r>
        <w:rPr>
          <w:rFonts w:ascii="Calibri" w:hAnsi="Calibri"/>
          <w:b/>
          <w:i w:val="0"/>
          <w:sz w:val="22"/>
        </w:rPr>
        <w:t>Out of scope (explicit boundaries):</w:t>
      </w:r>
    </w:p>
    <w:p>
      <w:pPr>
        <w:pStyle w:val="ListBullet"/>
        <w:ind w:left="360"/>
      </w:pPr>
      <w:r>
        <w:rPr>
          <w:rFonts w:ascii="Calibri" w:hAnsi="Calibri"/>
          <w:sz w:val="22"/>
        </w:rPr>
        <w:t>Product recommendation engines (deferred to v2)</w:t>
      </w:r>
    </w:p>
    <w:p>
      <w:pPr>
        <w:pStyle w:val="ListBullet"/>
        <w:ind w:left="360"/>
      </w:pPr>
      <w:r>
        <w:rPr>
          <w:rFonts w:ascii="Calibri" w:hAnsi="Calibri"/>
          <w:sz w:val="22"/>
        </w:rPr>
        <w:t>Real-time streaming pipelines — this is a batch-analytics MVP</w:t>
      </w:r>
    </w:p>
    <w:p>
      <w:pPr>
        <w:pStyle w:val="ListBullet"/>
        <w:ind w:left="360"/>
      </w:pPr>
      <w:r>
        <w:rPr>
          <w:rFonts w:ascii="Calibri" w:hAnsi="Calibri"/>
          <w:sz w:val="22"/>
        </w:rPr>
        <w:t>Inventory and supply-chain optimization</w:t>
      </w:r>
    </w:p>
    <w:p>
      <w:pPr>
        <w:pStyle w:val="ListBullet"/>
        <w:ind w:left="360"/>
      </w:pPr>
      <w:r>
        <w:rPr>
          <w:rFonts w:ascii="Calibri" w:hAnsi="Calibri"/>
          <w:sz w:val="22"/>
        </w:rPr>
        <w:t>Paid-media attribution modeling</w:t>
      </w:r>
    </w:p>
    <w:p>
      <w:pPr>
        <w:pStyle w:val="Heading1"/>
      </w:pPr>
      <w:r>
        <w:rPr>
          <w:rFonts w:ascii="Calibri" w:hAnsi="Calibri"/>
          <w:color w:val="0B2A4A"/>
        </w:rPr>
        <w:t>3. Stakeholder Analysis</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0B2A4A"/>
            <w:vAlign w:val="center"/>
          </w:tcPr>
          <w:p>
            <w:r/>
            <w:r>
              <w:rPr>
                <w:rFonts w:ascii="Calibri" w:hAnsi="Calibri"/>
                <w:b/>
                <w:color w:val="FFFFFF"/>
                <w:sz w:val="21"/>
              </w:rPr>
              <w:t>Stakeholder</w:t>
            </w:r>
          </w:p>
        </w:tc>
        <w:tc>
          <w:tcPr>
            <w:tcW w:type="dxa" w:w="2436"/>
            <w:shd w:val="clear" w:color="auto" w:fill="0B2A4A"/>
            <w:vAlign w:val="center"/>
          </w:tcPr>
          <w:p>
            <w:r/>
            <w:r>
              <w:rPr>
                <w:rFonts w:ascii="Calibri" w:hAnsi="Calibri"/>
                <w:b/>
                <w:color w:val="FFFFFF"/>
                <w:sz w:val="21"/>
              </w:rPr>
              <w:t>Primary Concern</w:t>
            </w:r>
          </w:p>
        </w:tc>
        <w:tc>
          <w:tcPr>
            <w:tcW w:type="dxa" w:w="2436"/>
            <w:shd w:val="clear" w:color="auto" w:fill="0B2A4A"/>
            <w:vAlign w:val="center"/>
          </w:tcPr>
          <w:p>
            <w:r/>
            <w:r>
              <w:rPr>
                <w:rFonts w:ascii="Calibri" w:hAnsi="Calibri"/>
                <w:b/>
                <w:color w:val="FFFFFF"/>
                <w:sz w:val="21"/>
              </w:rPr>
              <w:t>What They Need</w:t>
            </w:r>
          </w:p>
        </w:tc>
        <w:tc>
          <w:tcPr>
            <w:tcW w:type="dxa" w:w="2436"/>
            <w:shd w:val="clear" w:color="auto" w:fill="0B2A4A"/>
            <w:vAlign w:val="center"/>
          </w:tcPr>
          <w:p>
            <w:r/>
            <w:r>
              <w:rPr>
                <w:rFonts w:ascii="Calibri" w:hAnsi="Calibri"/>
                <w:b/>
                <w:color w:val="FFFFFF"/>
                <w:sz w:val="21"/>
              </w:rPr>
              <w:t>Success Looks Like</w:t>
            </w:r>
          </w:p>
        </w:tc>
      </w:tr>
      <w:tr>
        <w:tc>
          <w:tcPr>
            <w:tcW w:type="dxa" w:w="2436"/>
            <w:vAlign w:val="center"/>
          </w:tcPr>
          <w:p>
            <w:r/>
            <w:r>
              <w:rPr>
                <w:rFonts w:ascii="Calibri" w:hAnsi="Calibri"/>
                <w:sz w:val="20"/>
              </w:rPr>
              <w:t>CMO</w:t>
            </w:r>
          </w:p>
        </w:tc>
        <w:tc>
          <w:tcPr>
            <w:tcW w:type="dxa" w:w="2436"/>
            <w:vAlign w:val="center"/>
          </w:tcPr>
          <w:p>
            <w:r/>
            <w:r>
              <w:rPr>
                <w:rFonts w:ascii="Calibri" w:hAnsi="Calibri"/>
                <w:sz w:val="20"/>
              </w:rPr>
              <w:t>Marketing ROI, brand equity</w:t>
            </w:r>
          </w:p>
        </w:tc>
        <w:tc>
          <w:tcPr>
            <w:tcW w:type="dxa" w:w="2436"/>
            <w:vAlign w:val="center"/>
          </w:tcPr>
          <w:p>
            <w:r/>
            <w:r>
              <w:rPr>
                <w:rFonts w:ascii="Calibri" w:hAnsi="Calibri"/>
                <w:sz w:val="20"/>
              </w:rPr>
              <w:t>Clear segments, defensible budget allocation, executive narrative</w:t>
            </w:r>
          </w:p>
        </w:tc>
        <w:tc>
          <w:tcPr>
            <w:tcW w:type="dxa" w:w="2436"/>
            <w:vAlign w:val="center"/>
          </w:tcPr>
          <w:p>
            <w:r/>
            <w:r>
              <w:rPr>
                <w:rFonts w:ascii="Calibri" w:hAnsi="Calibri"/>
                <w:sz w:val="20"/>
              </w:rPr>
              <w:t>Presents segment strategy to CEO with confidence</w:t>
            </w:r>
          </w:p>
        </w:tc>
      </w:tr>
      <w:tr>
        <w:tc>
          <w:tcPr>
            <w:tcW w:type="dxa" w:w="2436"/>
            <w:shd w:val="clear" w:color="auto" w:fill="F2F5F9"/>
            <w:vAlign w:val="center"/>
          </w:tcPr>
          <w:p>
            <w:r/>
            <w:r>
              <w:rPr>
                <w:rFonts w:ascii="Calibri" w:hAnsi="Calibri"/>
                <w:sz w:val="20"/>
              </w:rPr>
              <w:t>CRM Manager</w:t>
            </w:r>
          </w:p>
        </w:tc>
        <w:tc>
          <w:tcPr>
            <w:tcW w:type="dxa" w:w="2436"/>
            <w:shd w:val="clear" w:color="auto" w:fill="F2F5F9"/>
            <w:vAlign w:val="center"/>
          </w:tcPr>
          <w:p>
            <w:r/>
            <w:r>
              <w:rPr>
                <w:rFonts w:ascii="Calibri" w:hAnsi="Calibri"/>
                <w:sz w:val="20"/>
              </w:rPr>
              <w:t>Retention rate, lifecycle journeys</w:t>
            </w:r>
          </w:p>
        </w:tc>
        <w:tc>
          <w:tcPr>
            <w:tcW w:type="dxa" w:w="2436"/>
            <w:shd w:val="clear" w:color="auto" w:fill="F2F5F9"/>
            <w:vAlign w:val="center"/>
          </w:tcPr>
          <w:p>
            <w:r/>
            <w:r>
              <w:rPr>
                <w:rFonts w:ascii="Calibri" w:hAnsi="Calibri"/>
                <w:sz w:val="20"/>
              </w:rPr>
              <w:t>Actionable tiers + churn alerts</w:t>
            </w:r>
          </w:p>
        </w:tc>
        <w:tc>
          <w:tcPr>
            <w:tcW w:type="dxa" w:w="2436"/>
            <w:shd w:val="clear" w:color="auto" w:fill="F2F5F9"/>
            <w:vAlign w:val="center"/>
          </w:tcPr>
          <w:p>
            <w:r/>
            <w:r>
              <w:rPr>
                <w:rFonts w:ascii="Calibri" w:hAnsi="Calibri"/>
                <w:sz w:val="20"/>
              </w:rPr>
              <w:t>Lifecycle flows mapped to RFM; measurable retention lift</w:t>
            </w:r>
          </w:p>
        </w:tc>
      </w:tr>
      <w:tr>
        <w:tc>
          <w:tcPr>
            <w:tcW w:type="dxa" w:w="2436"/>
            <w:vAlign w:val="center"/>
          </w:tcPr>
          <w:p>
            <w:r/>
            <w:r>
              <w:rPr>
                <w:rFonts w:ascii="Calibri" w:hAnsi="Calibri"/>
                <w:sz w:val="20"/>
              </w:rPr>
              <w:t>Marketing Ops</w:t>
            </w:r>
          </w:p>
        </w:tc>
        <w:tc>
          <w:tcPr>
            <w:tcW w:type="dxa" w:w="2436"/>
            <w:vAlign w:val="center"/>
          </w:tcPr>
          <w:p>
            <w:r/>
            <w:r>
              <w:rPr>
                <w:rFonts w:ascii="Calibri" w:hAnsi="Calibri"/>
                <w:sz w:val="20"/>
              </w:rPr>
              <w:t>Campaign execution, targeting</w:t>
            </w:r>
          </w:p>
        </w:tc>
        <w:tc>
          <w:tcPr>
            <w:tcW w:type="dxa" w:w="2436"/>
            <w:vAlign w:val="center"/>
          </w:tcPr>
          <w:p>
            <w:r/>
            <w:r>
              <w:rPr>
                <w:rFonts w:ascii="Calibri" w:hAnsi="Calibri"/>
                <w:sz w:val="20"/>
              </w:rPr>
              <w:t>Exportable segment lists + definitions</w:t>
            </w:r>
          </w:p>
        </w:tc>
        <w:tc>
          <w:tcPr>
            <w:tcW w:type="dxa" w:w="2436"/>
            <w:vAlign w:val="center"/>
          </w:tcPr>
          <w:p>
            <w:r/>
            <w:r>
              <w:rPr>
                <w:rFonts w:ascii="Calibri" w:hAnsi="Calibri"/>
                <w:sz w:val="20"/>
              </w:rPr>
              <w:t>Launches 5-segment campaign in &lt;1 day</w:t>
            </w:r>
          </w:p>
        </w:tc>
      </w:tr>
      <w:tr>
        <w:tc>
          <w:tcPr>
            <w:tcW w:type="dxa" w:w="2436"/>
            <w:shd w:val="clear" w:color="auto" w:fill="F2F5F9"/>
            <w:vAlign w:val="center"/>
          </w:tcPr>
          <w:p>
            <w:r/>
            <w:r>
              <w:rPr>
                <w:rFonts w:ascii="Calibri" w:hAnsi="Calibri"/>
                <w:sz w:val="20"/>
              </w:rPr>
              <w:t>Finance / FP&amp;A</w:t>
            </w:r>
          </w:p>
        </w:tc>
        <w:tc>
          <w:tcPr>
            <w:tcW w:type="dxa" w:w="2436"/>
            <w:shd w:val="clear" w:color="auto" w:fill="F2F5F9"/>
            <w:vAlign w:val="center"/>
          </w:tcPr>
          <w:p>
            <w:r/>
            <w:r>
              <w:rPr>
                <w:rFonts w:ascii="Calibri" w:hAnsi="Calibri"/>
                <w:sz w:val="20"/>
              </w:rPr>
              <w:t>Cost discipline, forecasting</w:t>
            </w:r>
          </w:p>
        </w:tc>
        <w:tc>
          <w:tcPr>
            <w:tcW w:type="dxa" w:w="2436"/>
            <w:shd w:val="clear" w:color="auto" w:fill="F2F5F9"/>
            <w:vAlign w:val="center"/>
          </w:tcPr>
          <w:p>
            <w:r/>
            <w:r>
              <w:rPr>
                <w:rFonts w:ascii="Calibri" w:hAnsi="Calibri"/>
                <w:sz w:val="20"/>
              </w:rPr>
              <w:t>Revenue concentration, CLV by segment</w:t>
            </w:r>
          </w:p>
        </w:tc>
        <w:tc>
          <w:tcPr>
            <w:tcW w:type="dxa" w:w="2436"/>
            <w:shd w:val="clear" w:color="auto" w:fill="F2F5F9"/>
            <w:vAlign w:val="center"/>
          </w:tcPr>
          <w:p>
            <w:r/>
            <w:r>
              <w:rPr>
                <w:rFonts w:ascii="Calibri" w:hAnsi="Calibri"/>
                <w:sz w:val="20"/>
              </w:rPr>
              <w:t>Models marketing spend → revenue at segment level</w:t>
            </w:r>
          </w:p>
        </w:tc>
      </w:tr>
      <w:tr>
        <w:tc>
          <w:tcPr>
            <w:tcW w:type="dxa" w:w="2436"/>
            <w:vAlign w:val="center"/>
          </w:tcPr>
          <w:p>
            <w:r/>
            <w:r>
              <w:rPr>
                <w:rFonts w:ascii="Calibri" w:hAnsi="Calibri"/>
                <w:sz w:val="20"/>
              </w:rPr>
              <w:t>E-commerce / Product</w:t>
            </w:r>
          </w:p>
        </w:tc>
        <w:tc>
          <w:tcPr>
            <w:tcW w:type="dxa" w:w="2436"/>
            <w:vAlign w:val="center"/>
          </w:tcPr>
          <w:p>
            <w:r/>
            <w:r>
              <w:rPr>
                <w:rFonts w:ascii="Calibri" w:hAnsi="Calibri"/>
                <w:sz w:val="20"/>
              </w:rPr>
              <w:t>Conversion, repeat-purchase</w:t>
            </w:r>
          </w:p>
        </w:tc>
        <w:tc>
          <w:tcPr>
            <w:tcW w:type="dxa" w:w="2436"/>
            <w:vAlign w:val="center"/>
          </w:tcPr>
          <w:p>
            <w:r/>
            <w:r>
              <w:rPr>
                <w:rFonts w:ascii="Calibri" w:hAnsi="Calibri"/>
                <w:sz w:val="20"/>
              </w:rPr>
              <w:t>Behavioral patterns of high-LTV customers</w:t>
            </w:r>
          </w:p>
        </w:tc>
        <w:tc>
          <w:tcPr>
            <w:tcW w:type="dxa" w:w="2436"/>
            <w:vAlign w:val="center"/>
          </w:tcPr>
          <w:p>
            <w:r/>
            <w:r>
              <w:rPr>
                <w:rFonts w:ascii="Calibri" w:hAnsi="Calibri"/>
                <w:sz w:val="20"/>
              </w:rPr>
              <w:t>Product / checkout informed by VIP behavior</w:t>
            </w:r>
          </w:p>
        </w:tc>
      </w:tr>
      <w:tr>
        <w:tc>
          <w:tcPr>
            <w:tcW w:type="dxa" w:w="2436"/>
            <w:shd w:val="clear" w:color="auto" w:fill="F2F5F9"/>
            <w:vAlign w:val="center"/>
          </w:tcPr>
          <w:p>
            <w:r/>
            <w:r>
              <w:rPr>
                <w:rFonts w:ascii="Calibri" w:hAnsi="Calibri"/>
                <w:sz w:val="20"/>
              </w:rPr>
              <w:t>Customer Service</w:t>
            </w:r>
          </w:p>
        </w:tc>
        <w:tc>
          <w:tcPr>
            <w:tcW w:type="dxa" w:w="2436"/>
            <w:shd w:val="clear" w:color="auto" w:fill="F2F5F9"/>
            <w:vAlign w:val="center"/>
          </w:tcPr>
          <w:p>
            <w:r/>
            <w:r>
              <w:rPr>
                <w:rFonts w:ascii="Calibri" w:hAnsi="Calibri"/>
                <w:sz w:val="20"/>
              </w:rPr>
              <w:t>Handling time, escalation</w:t>
            </w:r>
          </w:p>
        </w:tc>
        <w:tc>
          <w:tcPr>
            <w:tcW w:type="dxa" w:w="2436"/>
            <w:shd w:val="clear" w:color="auto" w:fill="F2F5F9"/>
            <w:vAlign w:val="center"/>
          </w:tcPr>
          <w:p>
            <w:r/>
            <w:r>
              <w:rPr>
                <w:rFonts w:ascii="Calibri" w:hAnsi="Calibri"/>
                <w:sz w:val="20"/>
              </w:rPr>
              <w:t>Awareness of high-value customers</w:t>
            </w:r>
          </w:p>
        </w:tc>
        <w:tc>
          <w:tcPr>
            <w:tcW w:type="dxa" w:w="2436"/>
            <w:shd w:val="clear" w:color="auto" w:fill="F2F5F9"/>
            <w:vAlign w:val="center"/>
          </w:tcPr>
          <w:p>
            <w:r/>
            <w:r>
              <w:rPr>
                <w:rFonts w:ascii="Calibri" w:hAnsi="Calibri"/>
                <w:sz w:val="20"/>
              </w:rPr>
              <w:t>VIP-tier routing; service costs are tier-appropriate</w:t>
            </w:r>
          </w:p>
        </w:tc>
      </w:tr>
      <w:tr>
        <w:tc>
          <w:tcPr>
            <w:tcW w:type="dxa" w:w="2436"/>
            <w:vAlign w:val="center"/>
          </w:tcPr>
          <w:p>
            <w:r/>
            <w:r>
              <w:rPr>
                <w:rFonts w:ascii="Calibri" w:hAnsi="Calibri"/>
                <w:sz w:val="20"/>
              </w:rPr>
              <w:t>Data / Engineering</w:t>
            </w:r>
          </w:p>
        </w:tc>
        <w:tc>
          <w:tcPr>
            <w:tcW w:type="dxa" w:w="2436"/>
            <w:vAlign w:val="center"/>
          </w:tcPr>
          <w:p>
            <w:r/>
            <w:r>
              <w:rPr>
                <w:rFonts w:ascii="Calibri" w:hAnsi="Calibri"/>
                <w:sz w:val="20"/>
              </w:rPr>
              <w:t>Reliability, maintainability</w:t>
            </w:r>
          </w:p>
        </w:tc>
        <w:tc>
          <w:tcPr>
            <w:tcW w:type="dxa" w:w="2436"/>
            <w:vAlign w:val="center"/>
          </w:tcPr>
          <w:p>
            <w:r/>
            <w:r>
              <w:rPr>
                <w:rFonts w:ascii="Calibri" w:hAnsi="Calibri"/>
                <w:sz w:val="20"/>
              </w:rPr>
              <w:t>Documented, reproducible pipeline</w:t>
            </w:r>
          </w:p>
        </w:tc>
        <w:tc>
          <w:tcPr>
            <w:tcW w:type="dxa" w:w="2436"/>
            <w:vAlign w:val="center"/>
          </w:tcPr>
          <w:p>
            <w:r/>
            <w:r>
              <w:rPr>
                <w:rFonts w:ascii="Calibri" w:hAnsi="Calibri"/>
                <w:sz w:val="20"/>
              </w:rPr>
              <w:t>Notebook → production handoff is trivial</w:t>
            </w:r>
          </w:p>
        </w:tc>
      </w:tr>
      <w:tr>
        <w:tc>
          <w:tcPr>
            <w:tcW w:type="dxa" w:w="2436"/>
            <w:shd w:val="clear" w:color="auto" w:fill="F2F5F9"/>
            <w:vAlign w:val="center"/>
          </w:tcPr>
          <w:p>
            <w:r/>
            <w:r>
              <w:rPr>
                <w:rFonts w:ascii="Calibri" w:hAnsi="Calibri"/>
                <w:sz w:val="20"/>
              </w:rPr>
              <w:t>CEO / Board</w:t>
            </w:r>
          </w:p>
        </w:tc>
        <w:tc>
          <w:tcPr>
            <w:tcW w:type="dxa" w:w="2436"/>
            <w:shd w:val="clear" w:color="auto" w:fill="F2F5F9"/>
            <w:vAlign w:val="center"/>
          </w:tcPr>
          <w:p>
            <w:r/>
            <w:r>
              <w:rPr>
                <w:rFonts w:ascii="Calibri" w:hAnsi="Calibri"/>
                <w:sz w:val="20"/>
              </w:rPr>
              <w:t>Growth, margin, defensibility</w:t>
            </w:r>
          </w:p>
        </w:tc>
        <w:tc>
          <w:tcPr>
            <w:tcW w:type="dxa" w:w="2436"/>
            <w:shd w:val="clear" w:color="auto" w:fill="F2F5F9"/>
            <w:vAlign w:val="center"/>
          </w:tcPr>
          <w:p>
            <w:r/>
            <w:r>
              <w:rPr>
                <w:rFonts w:ascii="Calibri" w:hAnsi="Calibri"/>
                <w:sz w:val="20"/>
              </w:rPr>
              <w:t>One-page strategic narrative + numbers</w:t>
            </w:r>
          </w:p>
        </w:tc>
        <w:tc>
          <w:tcPr>
            <w:tcW w:type="dxa" w:w="2436"/>
            <w:shd w:val="clear" w:color="auto" w:fill="F2F5F9"/>
            <w:vAlign w:val="center"/>
          </w:tcPr>
          <w:p>
            <w:r/>
            <w:r>
              <w:rPr>
                <w:rFonts w:ascii="Calibri" w:hAnsi="Calibri"/>
                <w:sz w:val="20"/>
              </w:rPr>
              <w:t>Investor-grade customer-led growth story</w:t>
            </w:r>
          </w:p>
        </w:tc>
      </w:tr>
    </w:tbl>
    <w:p>
      <w:r>
        <w:rPr>
          <w:rFonts w:ascii="Calibri" w:hAnsi="Calibri"/>
          <w:b/>
          <w:i w:val="0"/>
          <w:sz w:val="22"/>
        </w:rPr>
        <w:t>Primary stakeholders: CMO + CRM Manager (the budget owners).</w:t>
      </w:r>
    </w:p>
    <w:p>
      <w:r>
        <w:rPr>
          <w:rFonts w:ascii="Calibri" w:hAnsi="Calibri"/>
          <w:b w:val="0"/>
          <w:i/>
          <w:color w:val="555B66"/>
          <w:sz w:val="22"/>
        </w:rPr>
        <w:t>Secondary stakeholders: Finance, Marketing Ops (the operationalizers).</w:t>
      </w:r>
    </w:p>
    <w:p>
      <w:pPr>
        <w:pStyle w:val="Heading1"/>
      </w:pPr>
      <w:r>
        <w:rPr>
          <w:rFonts w:ascii="Calibri" w:hAnsi="Calibri"/>
          <w:color w:val="0B2A4A"/>
        </w:rPr>
        <w:t>4. Success Metrics (KPIs)</w:t>
      </w:r>
    </w:p>
    <w:p>
      <w:r>
        <w:rPr>
          <w:rFonts w:ascii="Calibri" w:hAnsi="Calibri"/>
          <w:b w:val="0"/>
          <w:i/>
          <w:color w:val="555B66"/>
          <w:sz w:val="22"/>
        </w:rPr>
        <w:t>Success is measured on three layers: business outcomes, analytical outputs, and project execution.</w:t>
      </w:r>
    </w:p>
    <w:p>
      <w:pPr>
        <w:pStyle w:val="Heading2"/>
      </w:pPr>
      <w:r>
        <w:rPr>
          <w:rFonts w:ascii="Calibri" w:hAnsi="Calibri"/>
          <w:color w:val="0B2A4A"/>
        </w:rPr>
        <w:t>4.1 Business Outcome KPIs</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0B2A4A"/>
            <w:vAlign w:val="center"/>
          </w:tcPr>
          <w:p>
            <w:r/>
            <w:r>
              <w:rPr>
                <w:rFonts w:ascii="Calibri" w:hAnsi="Calibri"/>
                <w:b/>
                <w:color w:val="FFFFFF"/>
                <w:sz w:val="21"/>
              </w:rPr>
              <w:t>KPI</w:t>
            </w:r>
          </w:p>
        </w:tc>
        <w:tc>
          <w:tcPr>
            <w:tcW w:type="dxa" w:w="2436"/>
            <w:shd w:val="clear" w:color="auto" w:fill="0B2A4A"/>
            <w:vAlign w:val="center"/>
          </w:tcPr>
          <w:p>
            <w:r/>
            <w:r>
              <w:rPr>
                <w:rFonts w:ascii="Calibri" w:hAnsi="Calibri"/>
                <w:b/>
                <w:color w:val="FFFFFF"/>
                <w:sz w:val="21"/>
              </w:rPr>
              <w:t>Baseline</w:t>
            </w:r>
          </w:p>
        </w:tc>
        <w:tc>
          <w:tcPr>
            <w:tcW w:type="dxa" w:w="2436"/>
            <w:shd w:val="clear" w:color="auto" w:fill="0B2A4A"/>
            <w:vAlign w:val="center"/>
          </w:tcPr>
          <w:p>
            <w:r/>
            <w:r>
              <w:rPr>
                <w:rFonts w:ascii="Calibri" w:hAnsi="Calibri"/>
                <w:b/>
                <w:color w:val="FFFFFF"/>
                <w:sz w:val="21"/>
              </w:rPr>
              <w:t>Target</w:t>
            </w:r>
          </w:p>
        </w:tc>
        <w:tc>
          <w:tcPr>
            <w:tcW w:type="dxa" w:w="2436"/>
            <w:shd w:val="clear" w:color="auto" w:fill="0B2A4A"/>
            <w:vAlign w:val="center"/>
          </w:tcPr>
          <w:p>
            <w:r/>
            <w:r>
              <w:rPr>
                <w:rFonts w:ascii="Calibri" w:hAnsi="Calibri"/>
                <w:b/>
                <w:color w:val="FFFFFF"/>
                <w:sz w:val="21"/>
              </w:rPr>
              <w:t>Why It Matters</w:t>
            </w:r>
          </w:p>
        </w:tc>
      </w:tr>
      <w:tr>
        <w:tc>
          <w:tcPr>
            <w:tcW w:type="dxa" w:w="2436"/>
            <w:vAlign w:val="center"/>
          </w:tcPr>
          <w:p>
            <w:r/>
            <w:r>
              <w:rPr>
                <w:rFonts w:ascii="Calibri" w:hAnsi="Calibri"/>
                <w:sz w:val="20"/>
              </w:rPr>
              <w:t>Repeat Purchase Rate</w:t>
            </w:r>
          </w:p>
        </w:tc>
        <w:tc>
          <w:tcPr>
            <w:tcW w:type="dxa" w:w="2436"/>
            <w:vAlign w:val="center"/>
          </w:tcPr>
          <w:p>
            <w:r/>
            <w:r>
              <w:rPr>
                <w:rFonts w:ascii="Calibri" w:hAnsi="Calibri"/>
                <w:sz w:val="20"/>
              </w:rPr>
              <w:t>TBD (Phase 3)</w:t>
            </w:r>
          </w:p>
        </w:tc>
        <w:tc>
          <w:tcPr>
            <w:tcW w:type="dxa" w:w="2436"/>
            <w:vAlign w:val="center"/>
          </w:tcPr>
          <w:p>
            <w:r/>
            <w:r>
              <w:rPr>
                <w:rFonts w:ascii="Calibri" w:hAnsi="Calibri"/>
                <w:sz w:val="20"/>
              </w:rPr>
              <w:t>+5–10pp in 6 months</w:t>
            </w:r>
          </w:p>
        </w:tc>
        <w:tc>
          <w:tcPr>
            <w:tcW w:type="dxa" w:w="2436"/>
            <w:vAlign w:val="center"/>
          </w:tcPr>
          <w:p>
            <w:r/>
            <w:r>
              <w:rPr>
                <w:rFonts w:ascii="Calibri" w:hAnsi="Calibri"/>
                <w:sz w:val="20"/>
              </w:rPr>
              <w:t>Direct measure of CRM effectiveness</w:t>
            </w:r>
          </w:p>
        </w:tc>
      </w:tr>
      <w:tr>
        <w:tc>
          <w:tcPr>
            <w:tcW w:type="dxa" w:w="2436"/>
            <w:shd w:val="clear" w:color="auto" w:fill="F2F5F9"/>
            <w:vAlign w:val="center"/>
          </w:tcPr>
          <w:p>
            <w:r/>
            <w:r>
              <w:rPr>
                <w:rFonts w:ascii="Calibri" w:hAnsi="Calibri"/>
                <w:sz w:val="20"/>
              </w:rPr>
              <w:t>90-Day Churn Rate (high-value)</w:t>
            </w:r>
          </w:p>
        </w:tc>
        <w:tc>
          <w:tcPr>
            <w:tcW w:type="dxa" w:w="2436"/>
            <w:shd w:val="clear" w:color="auto" w:fill="F2F5F9"/>
            <w:vAlign w:val="center"/>
          </w:tcPr>
          <w:p>
            <w:r/>
            <w:r>
              <w:rPr>
                <w:rFonts w:ascii="Calibri" w:hAnsi="Calibri"/>
                <w:sz w:val="20"/>
              </w:rPr>
              <w:t>TBD (Phase 5)</w:t>
            </w:r>
          </w:p>
        </w:tc>
        <w:tc>
          <w:tcPr>
            <w:tcW w:type="dxa" w:w="2436"/>
            <w:shd w:val="clear" w:color="auto" w:fill="F2F5F9"/>
            <w:vAlign w:val="center"/>
          </w:tcPr>
          <w:p>
            <w:r/>
            <w:r>
              <w:rPr>
                <w:rFonts w:ascii="Calibri" w:hAnsi="Calibri"/>
                <w:sz w:val="20"/>
              </w:rPr>
              <w:t>–20% relative</w:t>
            </w:r>
          </w:p>
        </w:tc>
        <w:tc>
          <w:tcPr>
            <w:tcW w:type="dxa" w:w="2436"/>
            <w:shd w:val="clear" w:color="auto" w:fill="F2F5F9"/>
            <w:vAlign w:val="center"/>
          </w:tcPr>
          <w:p>
            <w:r/>
            <w:r>
              <w:rPr>
                <w:rFonts w:ascii="Calibri" w:hAnsi="Calibri"/>
                <w:sz w:val="20"/>
              </w:rPr>
              <w:t>Retention is 5–7× cheaper than acquisition</w:t>
            </w:r>
          </w:p>
        </w:tc>
      </w:tr>
      <w:tr>
        <w:tc>
          <w:tcPr>
            <w:tcW w:type="dxa" w:w="2436"/>
            <w:vAlign w:val="center"/>
          </w:tcPr>
          <w:p>
            <w:r/>
            <w:r>
              <w:rPr>
                <w:rFonts w:ascii="Calibri" w:hAnsi="Calibri"/>
                <w:sz w:val="20"/>
              </w:rPr>
              <w:t>Revenue from Top-20% Customers</w:t>
            </w:r>
          </w:p>
        </w:tc>
        <w:tc>
          <w:tcPr>
            <w:tcW w:type="dxa" w:w="2436"/>
            <w:vAlign w:val="center"/>
          </w:tcPr>
          <w:p>
            <w:r/>
            <w:r>
              <w:rPr>
                <w:rFonts w:ascii="Calibri" w:hAnsi="Calibri"/>
                <w:sz w:val="20"/>
              </w:rPr>
              <w:t>TBD (Phase 3)</w:t>
            </w:r>
          </w:p>
        </w:tc>
        <w:tc>
          <w:tcPr>
            <w:tcW w:type="dxa" w:w="2436"/>
            <w:vAlign w:val="center"/>
          </w:tcPr>
          <w:p>
            <w:r/>
            <w:r>
              <w:rPr>
                <w:rFonts w:ascii="Calibri" w:hAnsi="Calibri"/>
                <w:sz w:val="20"/>
              </w:rPr>
              <w:t>Defend &amp; grow</w:t>
            </w:r>
          </w:p>
        </w:tc>
        <w:tc>
          <w:tcPr>
            <w:tcW w:type="dxa" w:w="2436"/>
            <w:vAlign w:val="center"/>
          </w:tcPr>
          <w:p>
            <w:r/>
            <w:r>
              <w:rPr>
                <w:rFonts w:ascii="Calibri" w:hAnsi="Calibri"/>
                <w:sz w:val="20"/>
              </w:rPr>
              <w:t>Pareto reality — protect the revenue base</w:t>
            </w:r>
          </w:p>
        </w:tc>
      </w:tr>
      <w:tr>
        <w:tc>
          <w:tcPr>
            <w:tcW w:type="dxa" w:w="2436"/>
            <w:shd w:val="clear" w:color="auto" w:fill="F2F5F9"/>
            <w:vAlign w:val="center"/>
          </w:tcPr>
          <w:p>
            <w:r/>
            <w:r>
              <w:rPr>
                <w:rFonts w:ascii="Calibri" w:hAnsi="Calibri"/>
                <w:sz w:val="20"/>
              </w:rPr>
              <w:t>Email Campaign Conversion</w:t>
            </w:r>
          </w:p>
        </w:tc>
        <w:tc>
          <w:tcPr>
            <w:tcW w:type="dxa" w:w="2436"/>
            <w:shd w:val="clear" w:color="auto" w:fill="F2F5F9"/>
            <w:vAlign w:val="center"/>
          </w:tcPr>
          <w:p>
            <w:r/>
            <w:r>
              <w:rPr>
                <w:rFonts w:ascii="Calibri" w:hAnsi="Calibri"/>
                <w:sz w:val="20"/>
              </w:rPr>
              <w:t>~2% industry avg</w:t>
            </w:r>
          </w:p>
        </w:tc>
        <w:tc>
          <w:tcPr>
            <w:tcW w:type="dxa" w:w="2436"/>
            <w:shd w:val="clear" w:color="auto" w:fill="F2F5F9"/>
            <w:vAlign w:val="center"/>
          </w:tcPr>
          <w:p>
            <w:r/>
            <w:r>
              <w:rPr>
                <w:rFonts w:ascii="Calibri" w:hAnsi="Calibri"/>
                <w:sz w:val="20"/>
              </w:rPr>
              <w:t>+30% relative</w:t>
            </w:r>
          </w:p>
        </w:tc>
        <w:tc>
          <w:tcPr>
            <w:tcW w:type="dxa" w:w="2436"/>
            <w:shd w:val="clear" w:color="auto" w:fill="F2F5F9"/>
            <w:vAlign w:val="center"/>
          </w:tcPr>
          <w:p>
            <w:r/>
            <w:r>
              <w:rPr>
                <w:rFonts w:ascii="Calibri" w:hAnsi="Calibri"/>
                <w:sz w:val="20"/>
              </w:rPr>
              <w:t>Proves segmentation &gt; batch-and-blast</w:t>
            </w:r>
          </w:p>
        </w:tc>
      </w:tr>
      <w:tr>
        <w:tc>
          <w:tcPr>
            <w:tcW w:type="dxa" w:w="2436"/>
            <w:vAlign w:val="center"/>
          </w:tcPr>
          <w:p>
            <w:r/>
            <w:r>
              <w:rPr>
                <w:rFonts w:ascii="Calibri" w:hAnsi="Calibri"/>
                <w:sz w:val="20"/>
              </w:rPr>
              <w:t>Average Customer Lifetime Value</w:t>
            </w:r>
          </w:p>
        </w:tc>
        <w:tc>
          <w:tcPr>
            <w:tcW w:type="dxa" w:w="2436"/>
            <w:vAlign w:val="center"/>
          </w:tcPr>
          <w:p>
            <w:r/>
            <w:r>
              <w:rPr>
                <w:rFonts w:ascii="Calibri" w:hAnsi="Calibri"/>
                <w:sz w:val="20"/>
              </w:rPr>
              <w:t>TBD (Phase 4)</w:t>
            </w:r>
          </w:p>
        </w:tc>
        <w:tc>
          <w:tcPr>
            <w:tcW w:type="dxa" w:w="2436"/>
            <w:vAlign w:val="center"/>
          </w:tcPr>
          <w:p>
            <w:r/>
            <w:r>
              <w:rPr>
                <w:rFonts w:ascii="Calibri" w:hAnsi="Calibri"/>
                <w:sz w:val="20"/>
              </w:rPr>
              <w:t>+15% in 12 months</w:t>
            </w:r>
          </w:p>
        </w:tc>
        <w:tc>
          <w:tcPr>
            <w:tcW w:type="dxa" w:w="2436"/>
            <w:vAlign w:val="center"/>
          </w:tcPr>
          <w:p>
            <w:r/>
            <w:r>
              <w:rPr>
                <w:rFonts w:ascii="Calibri" w:hAnsi="Calibri"/>
                <w:sz w:val="20"/>
              </w:rPr>
              <w:t>Long-term enterprise value driver</w:t>
            </w:r>
          </w:p>
        </w:tc>
      </w:tr>
    </w:tbl>
    <w:p>
      <w:pPr>
        <w:pStyle w:val="Heading2"/>
      </w:pPr>
      <w:r>
        <w:rPr>
          <w:rFonts w:ascii="Calibri" w:hAnsi="Calibri"/>
          <w:color w:val="0B2A4A"/>
        </w:rPr>
        <w:t>4.2 Analytical Output KPIs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0B2A4A"/>
            <w:vAlign w:val="center"/>
          </w:tcPr>
          <w:p>
            <w:r/>
            <w:r>
              <w:rPr>
                <w:rFonts w:ascii="Calibri" w:hAnsi="Calibri"/>
                <w:b/>
                <w:color w:val="FFFFFF"/>
                <w:sz w:val="21"/>
              </w:rPr>
              <w:t>KPI</w:t>
            </w:r>
          </w:p>
        </w:tc>
        <w:tc>
          <w:tcPr>
            <w:tcW w:type="dxa" w:w="4873"/>
            <w:shd w:val="clear" w:color="auto" w:fill="0B2A4A"/>
            <w:vAlign w:val="center"/>
          </w:tcPr>
          <w:p>
            <w:r/>
            <w:r>
              <w:rPr>
                <w:rFonts w:ascii="Calibri" w:hAnsi="Calibri"/>
                <w:b/>
                <w:color w:val="FFFFFF"/>
                <w:sz w:val="21"/>
              </w:rPr>
              <w:t>Target</w:t>
            </w:r>
          </w:p>
        </w:tc>
      </w:tr>
      <w:tr>
        <w:tc>
          <w:tcPr>
            <w:tcW w:type="dxa" w:w="4873"/>
            <w:vAlign w:val="center"/>
          </w:tcPr>
          <w:p>
            <w:r/>
            <w:r>
              <w:rPr>
                <w:rFonts w:ascii="Calibri" w:hAnsi="Calibri"/>
                <w:sz w:val="20"/>
              </w:rPr>
              <w:t>Customer segments identified</w:t>
            </w:r>
          </w:p>
        </w:tc>
        <w:tc>
          <w:tcPr>
            <w:tcW w:type="dxa" w:w="4873"/>
            <w:vAlign w:val="center"/>
          </w:tcPr>
          <w:p>
            <w:r/>
            <w:r>
              <w:rPr>
                <w:rFonts w:ascii="Calibri" w:hAnsi="Calibri"/>
                <w:sz w:val="20"/>
              </w:rPr>
              <w:t>4–6 actionable, business-interpretable clusters</w:t>
            </w:r>
          </w:p>
        </w:tc>
      </w:tr>
      <w:tr>
        <w:tc>
          <w:tcPr>
            <w:tcW w:type="dxa" w:w="4873"/>
            <w:shd w:val="clear" w:color="auto" w:fill="F2F5F9"/>
            <w:vAlign w:val="center"/>
          </w:tcPr>
          <w:p>
            <w:r/>
            <w:r>
              <w:rPr>
                <w:rFonts w:ascii="Calibri" w:hAnsi="Calibri"/>
                <w:sz w:val="20"/>
              </w:rPr>
              <w:t>Segment stability</w:t>
            </w:r>
          </w:p>
        </w:tc>
        <w:tc>
          <w:tcPr>
            <w:tcW w:type="dxa" w:w="4873"/>
            <w:shd w:val="clear" w:color="auto" w:fill="F2F5F9"/>
            <w:vAlign w:val="center"/>
          </w:tcPr>
          <w:p>
            <w:r/>
            <w:r>
              <w:rPr>
                <w:rFonts w:ascii="Calibri" w:hAnsi="Calibri"/>
                <w:sz w:val="20"/>
              </w:rPr>
              <w:t>&gt;70% customers stay in same/adjacent tier month-over-month</w:t>
            </w:r>
          </w:p>
        </w:tc>
      </w:tr>
      <w:tr>
        <w:tc>
          <w:tcPr>
            <w:tcW w:type="dxa" w:w="4873"/>
            <w:vAlign w:val="center"/>
          </w:tcPr>
          <w:p>
            <w:r/>
            <w:r>
              <w:rPr>
                <w:rFonts w:ascii="Calibri" w:hAnsi="Calibri"/>
                <w:sz w:val="20"/>
              </w:rPr>
              <w:t>RFM coverage</w:t>
            </w:r>
          </w:p>
        </w:tc>
        <w:tc>
          <w:tcPr>
            <w:tcW w:type="dxa" w:w="4873"/>
            <w:vAlign w:val="center"/>
          </w:tcPr>
          <w:p>
            <w:r/>
            <w:r>
              <w:rPr>
                <w:rFonts w:ascii="Calibri" w:hAnsi="Calibri"/>
                <w:sz w:val="20"/>
              </w:rPr>
              <w:t>100% of customers with ≥1 purchase scored</w:t>
            </w:r>
          </w:p>
        </w:tc>
      </w:tr>
      <w:tr>
        <w:tc>
          <w:tcPr>
            <w:tcW w:type="dxa" w:w="4873"/>
            <w:shd w:val="clear" w:color="auto" w:fill="F2F5F9"/>
            <w:vAlign w:val="center"/>
          </w:tcPr>
          <w:p>
            <w:r/>
            <w:r>
              <w:rPr>
                <w:rFonts w:ascii="Calibri" w:hAnsi="Calibri"/>
                <w:sz w:val="20"/>
              </w:rPr>
              <w:t>Data quality</w:t>
            </w:r>
          </w:p>
        </w:tc>
        <w:tc>
          <w:tcPr>
            <w:tcW w:type="dxa" w:w="4873"/>
            <w:shd w:val="clear" w:color="auto" w:fill="F2F5F9"/>
            <w:vAlign w:val="center"/>
          </w:tcPr>
          <w:p>
            <w:r/>
            <w:r>
              <w:rPr>
                <w:rFonts w:ascii="Calibri" w:hAnsi="Calibri"/>
                <w:sz w:val="20"/>
              </w:rPr>
              <w:t>&lt;5% rows discarded; all discards documented</w:t>
            </w:r>
          </w:p>
        </w:tc>
      </w:tr>
    </w:tbl>
    <w:p>
      <w:pPr>
        <w:pStyle w:val="Heading2"/>
      </w:pPr>
      <w:r>
        <w:rPr>
          <w:rFonts w:ascii="Calibri" w:hAnsi="Calibri"/>
          <w:color w:val="0B2A4A"/>
        </w:rPr>
        <w:t>4.3 Project Execution KPIs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0B2A4A"/>
            <w:vAlign w:val="center"/>
          </w:tcPr>
          <w:p>
            <w:r/>
            <w:r>
              <w:rPr>
                <w:rFonts w:ascii="Calibri" w:hAnsi="Calibri"/>
                <w:b/>
                <w:color w:val="FFFFFF"/>
                <w:sz w:val="21"/>
              </w:rPr>
              <w:t>KPI</w:t>
            </w:r>
          </w:p>
        </w:tc>
        <w:tc>
          <w:tcPr>
            <w:tcW w:type="dxa" w:w="4873"/>
            <w:shd w:val="clear" w:color="auto" w:fill="0B2A4A"/>
            <w:vAlign w:val="center"/>
          </w:tcPr>
          <w:p>
            <w:r/>
            <w:r>
              <w:rPr>
                <w:rFonts w:ascii="Calibri" w:hAnsi="Calibri"/>
                <w:b/>
                <w:color w:val="FFFFFF"/>
                <w:sz w:val="21"/>
              </w:rPr>
              <w:t>Target</w:t>
            </w:r>
          </w:p>
        </w:tc>
      </w:tr>
      <w:tr>
        <w:tc>
          <w:tcPr>
            <w:tcW w:type="dxa" w:w="4873"/>
            <w:vAlign w:val="center"/>
          </w:tcPr>
          <w:p>
            <w:r/>
            <w:r>
              <w:rPr>
                <w:rFonts w:ascii="Calibri" w:hAnsi="Calibri"/>
                <w:sz w:val="20"/>
              </w:rPr>
              <w:t>Phases delivered on time</w:t>
            </w:r>
          </w:p>
        </w:tc>
        <w:tc>
          <w:tcPr>
            <w:tcW w:type="dxa" w:w="4873"/>
            <w:vAlign w:val="center"/>
          </w:tcPr>
          <w:p>
            <w:r/>
            <w:r>
              <w:rPr>
                <w:rFonts w:ascii="Calibri" w:hAnsi="Calibri"/>
                <w:sz w:val="20"/>
              </w:rPr>
              <w:t>9 / 9</w:t>
            </w:r>
          </w:p>
        </w:tc>
      </w:tr>
      <w:tr>
        <w:tc>
          <w:tcPr>
            <w:tcW w:type="dxa" w:w="4873"/>
            <w:shd w:val="clear" w:color="auto" w:fill="F2F5F9"/>
            <w:vAlign w:val="center"/>
          </w:tcPr>
          <w:p>
            <w:r/>
            <w:r>
              <w:rPr>
                <w:rFonts w:ascii="Calibri" w:hAnsi="Calibri"/>
                <w:sz w:val="20"/>
              </w:rPr>
              <w:t>Files in GitHub repo</w:t>
            </w:r>
          </w:p>
        </w:tc>
        <w:tc>
          <w:tcPr>
            <w:tcW w:type="dxa" w:w="4873"/>
            <w:shd w:val="clear" w:color="auto" w:fill="F2F5F9"/>
            <w:vAlign w:val="center"/>
          </w:tcPr>
          <w:p>
            <w:r/>
            <w:r>
              <w:rPr>
                <w:rFonts w:ascii="Calibri" w:hAnsi="Calibri"/>
                <w:sz w:val="20"/>
              </w:rPr>
              <w:t>≥ 25</w:t>
            </w:r>
          </w:p>
        </w:tc>
      </w:tr>
      <w:tr>
        <w:tc>
          <w:tcPr>
            <w:tcW w:type="dxa" w:w="4873"/>
            <w:vAlign w:val="center"/>
          </w:tcPr>
          <w:p>
            <w:r/>
            <w:r>
              <w:rPr>
                <w:rFonts w:ascii="Calibri" w:hAnsi="Calibri"/>
                <w:sz w:val="20"/>
              </w:rPr>
              <w:t>Reproducibility</w:t>
            </w:r>
          </w:p>
        </w:tc>
        <w:tc>
          <w:tcPr>
            <w:tcW w:type="dxa" w:w="4873"/>
            <w:vAlign w:val="center"/>
          </w:tcPr>
          <w:p>
            <w:r/>
            <w:r>
              <w:rPr>
                <w:rFonts w:ascii="Calibri" w:hAnsi="Calibri"/>
                <w:sz w:val="20"/>
              </w:rPr>
              <w:t>Any reviewer can re-run end-to-end</w:t>
            </w:r>
          </w:p>
        </w:tc>
      </w:tr>
      <w:tr>
        <w:tc>
          <w:tcPr>
            <w:tcW w:type="dxa" w:w="4873"/>
            <w:shd w:val="clear" w:color="auto" w:fill="F2F5F9"/>
            <w:vAlign w:val="center"/>
          </w:tcPr>
          <w:p>
            <w:r/>
            <w:r>
              <w:rPr>
                <w:rFonts w:ascii="Calibri" w:hAnsi="Calibri"/>
                <w:sz w:val="20"/>
              </w:rPr>
              <w:t>Recruiter-ready artifacts</w:t>
            </w:r>
          </w:p>
        </w:tc>
        <w:tc>
          <w:tcPr>
            <w:tcW w:type="dxa" w:w="4873"/>
            <w:shd w:val="clear" w:color="auto" w:fill="F2F5F9"/>
            <w:vAlign w:val="center"/>
          </w:tcPr>
          <w:p>
            <w:r/>
            <w:r>
              <w:rPr>
                <w:rFonts w:ascii="Calibri" w:hAnsi="Calibri"/>
                <w:sz w:val="20"/>
              </w:rPr>
              <w:t>Resume bullets, LinkedIn, PPTX, README all complete</w:t>
            </w:r>
          </w:p>
        </w:tc>
      </w:tr>
    </w:tbl>
    <w:p>
      <w:pPr>
        <w:pStyle w:val="Heading1"/>
      </w:pPr>
      <w:r>
        <w:rPr>
          <w:rFonts w:ascii="Calibri" w:hAnsi="Calibri"/>
          <w:color w:val="0B2A4A"/>
        </w:rPr>
        <w:t>5. Hypothesis Register</w:t>
      </w:r>
    </w:p>
    <w:p>
      <w:r>
        <w:rPr>
          <w:rFonts w:ascii="Calibri" w:hAnsi="Calibri"/>
          <w:b w:val="0"/>
          <w:i/>
          <w:color w:val="555B66"/>
          <w:sz w:val="22"/>
        </w:rPr>
        <w:t>Hypothesis Validation is an explicitly required skill in the target JD. This register makes that competency visible and testable. Each hypothesis will be confirmed, rejected, or refined during EDA, RFM, and segmentation phases.</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0B2A4A"/>
            <w:vAlign w:val="center"/>
          </w:tcPr>
          <w:p>
            <w:r/>
            <w:r>
              <w:rPr>
                <w:rFonts w:ascii="Calibri" w:hAnsi="Calibri"/>
                <w:b/>
                <w:color w:val="FFFFFF"/>
                <w:sz w:val="21"/>
              </w:rPr>
              <w:t>#</w:t>
            </w:r>
          </w:p>
        </w:tc>
        <w:tc>
          <w:tcPr>
            <w:tcW w:type="dxa" w:w="2436"/>
            <w:shd w:val="clear" w:color="auto" w:fill="0B2A4A"/>
            <w:vAlign w:val="center"/>
          </w:tcPr>
          <w:p>
            <w:r/>
            <w:r>
              <w:rPr>
                <w:rFonts w:ascii="Calibri" w:hAnsi="Calibri"/>
                <w:b/>
                <w:color w:val="FFFFFF"/>
                <w:sz w:val="21"/>
              </w:rPr>
              <w:t>Hypothesis</w:t>
            </w:r>
          </w:p>
        </w:tc>
        <w:tc>
          <w:tcPr>
            <w:tcW w:type="dxa" w:w="2436"/>
            <w:shd w:val="clear" w:color="auto" w:fill="0B2A4A"/>
            <w:vAlign w:val="center"/>
          </w:tcPr>
          <w:p>
            <w:r/>
            <w:r>
              <w:rPr>
                <w:rFonts w:ascii="Calibri" w:hAnsi="Calibri"/>
                <w:b/>
                <w:color w:val="FFFFFF"/>
                <w:sz w:val="21"/>
              </w:rPr>
              <w:t>Validation Phase</w:t>
            </w:r>
          </w:p>
        </w:tc>
        <w:tc>
          <w:tcPr>
            <w:tcW w:type="dxa" w:w="2436"/>
            <w:shd w:val="clear" w:color="auto" w:fill="0B2A4A"/>
            <w:vAlign w:val="center"/>
          </w:tcPr>
          <w:p>
            <w:r/>
            <w:r>
              <w:rPr>
                <w:rFonts w:ascii="Calibri" w:hAnsi="Calibri"/>
                <w:b/>
                <w:color w:val="FFFFFF"/>
                <w:sz w:val="21"/>
              </w:rPr>
              <w:t>Business Implication if True</w:t>
            </w:r>
          </w:p>
        </w:tc>
      </w:tr>
      <w:tr>
        <w:tc>
          <w:tcPr>
            <w:tcW w:type="dxa" w:w="2436"/>
            <w:vAlign w:val="center"/>
          </w:tcPr>
          <w:p>
            <w:r/>
            <w:r>
              <w:rPr>
                <w:rFonts w:ascii="Calibri" w:hAnsi="Calibri"/>
                <w:sz w:val="20"/>
              </w:rPr>
              <w:t>H1</w:t>
            </w:r>
          </w:p>
        </w:tc>
        <w:tc>
          <w:tcPr>
            <w:tcW w:type="dxa" w:w="2436"/>
            <w:vAlign w:val="center"/>
          </w:tcPr>
          <w:p>
            <w:r/>
            <w:r>
              <w:rPr>
                <w:rFonts w:ascii="Calibri" w:hAnsi="Calibri"/>
                <w:sz w:val="20"/>
              </w:rPr>
              <w:t>Top 20% of customers generate ≥70% of revenue (Pareto)</w:t>
            </w:r>
          </w:p>
        </w:tc>
        <w:tc>
          <w:tcPr>
            <w:tcW w:type="dxa" w:w="2436"/>
            <w:vAlign w:val="center"/>
          </w:tcPr>
          <w:p>
            <w:r/>
            <w:r>
              <w:rPr>
                <w:rFonts w:ascii="Calibri" w:hAnsi="Calibri"/>
                <w:sz w:val="20"/>
              </w:rPr>
              <w:t>Phase 3 (EDA)</w:t>
            </w:r>
          </w:p>
        </w:tc>
        <w:tc>
          <w:tcPr>
            <w:tcW w:type="dxa" w:w="2436"/>
            <w:vAlign w:val="center"/>
          </w:tcPr>
          <w:p>
            <w:r/>
            <w:r>
              <w:rPr>
                <w:rFonts w:ascii="Calibri" w:hAnsi="Calibri"/>
                <w:sz w:val="20"/>
              </w:rPr>
              <w:t>Justifies VIP program; concentrate marketing spend</w:t>
            </w:r>
          </w:p>
        </w:tc>
      </w:tr>
      <w:tr>
        <w:tc>
          <w:tcPr>
            <w:tcW w:type="dxa" w:w="2436"/>
            <w:shd w:val="clear" w:color="auto" w:fill="F2F5F9"/>
            <w:vAlign w:val="center"/>
          </w:tcPr>
          <w:p>
            <w:r/>
            <w:r>
              <w:rPr>
                <w:rFonts w:ascii="Calibri" w:hAnsi="Calibri"/>
                <w:sz w:val="20"/>
              </w:rPr>
              <w:t>H2</w:t>
            </w:r>
          </w:p>
        </w:tc>
        <w:tc>
          <w:tcPr>
            <w:tcW w:type="dxa" w:w="2436"/>
            <w:shd w:val="clear" w:color="auto" w:fill="F2F5F9"/>
            <w:vAlign w:val="center"/>
          </w:tcPr>
          <w:p>
            <w:r/>
            <w:r>
              <w:rPr>
                <w:rFonts w:ascii="Calibri" w:hAnsi="Calibri"/>
                <w:sz w:val="20"/>
              </w:rPr>
              <w:t>UK &gt;80% of revenue, but non-UK has higher AOV</w:t>
            </w:r>
          </w:p>
        </w:tc>
        <w:tc>
          <w:tcPr>
            <w:tcW w:type="dxa" w:w="2436"/>
            <w:shd w:val="clear" w:color="auto" w:fill="F2F5F9"/>
            <w:vAlign w:val="center"/>
          </w:tcPr>
          <w:p>
            <w:r/>
            <w:r>
              <w:rPr>
                <w:rFonts w:ascii="Calibri" w:hAnsi="Calibri"/>
                <w:sz w:val="20"/>
              </w:rPr>
              <w:t>Phase 3</w:t>
            </w:r>
          </w:p>
        </w:tc>
        <w:tc>
          <w:tcPr>
            <w:tcW w:type="dxa" w:w="2436"/>
            <w:shd w:val="clear" w:color="auto" w:fill="F2F5F9"/>
            <w:vAlign w:val="center"/>
          </w:tcPr>
          <w:p>
            <w:r/>
            <w:r>
              <w:rPr>
                <w:rFonts w:ascii="Calibri" w:hAnsi="Calibri"/>
                <w:sz w:val="20"/>
              </w:rPr>
              <w:t>Different growth strategies per geography</w:t>
            </w:r>
          </w:p>
        </w:tc>
      </w:tr>
      <w:tr>
        <w:tc>
          <w:tcPr>
            <w:tcW w:type="dxa" w:w="2436"/>
            <w:vAlign w:val="center"/>
          </w:tcPr>
          <w:p>
            <w:r/>
            <w:r>
              <w:rPr>
                <w:rFonts w:ascii="Calibri" w:hAnsi="Calibri"/>
                <w:sz w:val="20"/>
              </w:rPr>
              <w:t>H3</w:t>
            </w:r>
          </w:p>
        </w:tc>
        <w:tc>
          <w:tcPr>
            <w:tcW w:type="dxa" w:w="2436"/>
            <w:vAlign w:val="center"/>
          </w:tcPr>
          <w:p>
            <w:r/>
            <w:r>
              <w:rPr>
                <w:rFonts w:ascii="Calibri" w:hAnsi="Calibri"/>
                <w:sz w:val="20"/>
              </w:rPr>
              <w:t>2nd purchase within 30 days → 3× higher LTV</w:t>
            </w:r>
          </w:p>
        </w:tc>
        <w:tc>
          <w:tcPr>
            <w:tcW w:type="dxa" w:w="2436"/>
            <w:vAlign w:val="center"/>
          </w:tcPr>
          <w:p>
            <w:r/>
            <w:r>
              <w:rPr>
                <w:rFonts w:ascii="Calibri" w:hAnsi="Calibri"/>
                <w:sz w:val="20"/>
              </w:rPr>
              <w:t>Phase 4</w:t>
            </w:r>
          </w:p>
        </w:tc>
        <w:tc>
          <w:tcPr>
            <w:tcW w:type="dxa" w:w="2436"/>
            <w:vAlign w:val="center"/>
          </w:tcPr>
          <w:p>
            <w:r/>
            <w:r>
              <w:rPr>
                <w:rFonts w:ascii="Calibri" w:hAnsi="Calibri"/>
                <w:sz w:val="20"/>
              </w:rPr>
              <w:t>Justifies aggressive 30-day nurture campaigns</w:t>
            </w:r>
          </w:p>
        </w:tc>
      </w:tr>
      <w:tr>
        <w:tc>
          <w:tcPr>
            <w:tcW w:type="dxa" w:w="2436"/>
            <w:shd w:val="clear" w:color="auto" w:fill="F2F5F9"/>
            <w:vAlign w:val="center"/>
          </w:tcPr>
          <w:p>
            <w:r/>
            <w:r>
              <w:rPr>
                <w:rFonts w:ascii="Calibri" w:hAnsi="Calibri"/>
                <w:sz w:val="20"/>
              </w:rPr>
              <w:t>H4</w:t>
            </w:r>
          </w:p>
        </w:tc>
        <w:tc>
          <w:tcPr>
            <w:tcW w:type="dxa" w:w="2436"/>
            <w:shd w:val="clear" w:color="auto" w:fill="F2F5F9"/>
            <w:vAlign w:val="center"/>
          </w:tcPr>
          <w:p>
            <w:r/>
            <w:r>
              <w:rPr>
                <w:rFonts w:ascii="Calibri" w:hAnsi="Calibri"/>
                <w:sz w:val="20"/>
              </w:rPr>
              <w:t>Hidden B2B segment (wholesale-like buyers) inside B2C data</w:t>
            </w:r>
          </w:p>
        </w:tc>
        <w:tc>
          <w:tcPr>
            <w:tcW w:type="dxa" w:w="2436"/>
            <w:shd w:val="clear" w:color="auto" w:fill="F2F5F9"/>
            <w:vAlign w:val="center"/>
          </w:tcPr>
          <w:p>
            <w:r/>
            <w:r>
              <w:rPr>
                <w:rFonts w:ascii="Calibri" w:hAnsi="Calibri"/>
                <w:sz w:val="20"/>
              </w:rPr>
              <w:t>Phase 6</w:t>
            </w:r>
          </w:p>
        </w:tc>
        <w:tc>
          <w:tcPr>
            <w:tcW w:type="dxa" w:w="2436"/>
            <w:shd w:val="clear" w:color="auto" w:fill="F2F5F9"/>
            <w:vAlign w:val="center"/>
          </w:tcPr>
          <w:p>
            <w:r/>
            <w:r>
              <w:rPr>
                <w:rFonts w:ascii="Calibri" w:hAnsi="Calibri"/>
                <w:sz w:val="20"/>
              </w:rPr>
              <w:t>Requires separate B2B CRM track</w:t>
            </w:r>
          </w:p>
        </w:tc>
      </w:tr>
      <w:tr>
        <w:tc>
          <w:tcPr>
            <w:tcW w:type="dxa" w:w="2436"/>
            <w:vAlign w:val="center"/>
          </w:tcPr>
          <w:p>
            <w:r/>
            <w:r>
              <w:rPr>
                <w:rFonts w:ascii="Calibri" w:hAnsi="Calibri"/>
                <w:sz w:val="20"/>
              </w:rPr>
              <w:t>H5</w:t>
            </w:r>
          </w:p>
        </w:tc>
        <w:tc>
          <w:tcPr>
            <w:tcW w:type="dxa" w:w="2436"/>
            <w:vAlign w:val="center"/>
          </w:tcPr>
          <w:p>
            <w:r/>
            <w:r>
              <w:rPr>
                <w:rFonts w:ascii="Calibri" w:hAnsi="Calibri"/>
                <w:sz w:val="20"/>
              </w:rPr>
              <w:t>Dormant-but-previously-loyal customers are recoverable</w:t>
            </w:r>
          </w:p>
        </w:tc>
        <w:tc>
          <w:tcPr>
            <w:tcW w:type="dxa" w:w="2436"/>
            <w:vAlign w:val="center"/>
          </w:tcPr>
          <w:p>
            <w:r/>
            <w:r>
              <w:rPr>
                <w:rFonts w:ascii="Calibri" w:hAnsi="Calibri"/>
                <w:sz w:val="20"/>
              </w:rPr>
              <w:t>Phase 5 (RFM)</w:t>
            </w:r>
          </w:p>
        </w:tc>
        <w:tc>
          <w:tcPr>
            <w:tcW w:type="dxa" w:w="2436"/>
            <w:vAlign w:val="center"/>
          </w:tcPr>
          <w:p>
            <w:r/>
            <w:r>
              <w:rPr>
                <w:rFonts w:ascii="Calibri" w:hAnsi="Calibri"/>
                <w:sz w:val="20"/>
              </w:rPr>
              <w:t>Justifies dedicated win-back budget line</w:t>
            </w:r>
          </w:p>
        </w:tc>
      </w:tr>
      <w:tr>
        <w:tc>
          <w:tcPr>
            <w:tcW w:type="dxa" w:w="2436"/>
            <w:shd w:val="clear" w:color="auto" w:fill="F2F5F9"/>
            <w:vAlign w:val="center"/>
          </w:tcPr>
          <w:p>
            <w:r/>
            <w:r>
              <w:rPr>
                <w:rFonts w:ascii="Calibri" w:hAnsi="Calibri"/>
                <w:sz w:val="20"/>
              </w:rPr>
              <w:t>H6</w:t>
            </w:r>
          </w:p>
        </w:tc>
        <w:tc>
          <w:tcPr>
            <w:tcW w:type="dxa" w:w="2436"/>
            <w:shd w:val="clear" w:color="auto" w:fill="F2F5F9"/>
            <w:vAlign w:val="center"/>
          </w:tcPr>
          <w:p>
            <w:r/>
            <w:r>
              <w:rPr>
                <w:rFonts w:ascii="Calibri" w:hAnsi="Calibri"/>
                <w:sz w:val="20"/>
              </w:rPr>
              <w:t>December acquisitions have poor 12-month retention</w:t>
            </w:r>
          </w:p>
        </w:tc>
        <w:tc>
          <w:tcPr>
            <w:tcW w:type="dxa" w:w="2436"/>
            <w:shd w:val="clear" w:color="auto" w:fill="F2F5F9"/>
            <w:vAlign w:val="center"/>
          </w:tcPr>
          <w:p>
            <w:r/>
            <w:r>
              <w:rPr>
                <w:rFonts w:ascii="Calibri" w:hAnsi="Calibri"/>
                <w:sz w:val="20"/>
              </w:rPr>
              <w:t>Phase 3</w:t>
            </w:r>
          </w:p>
        </w:tc>
        <w:tc>
          <w:tcPr>
            <w:tcW w:type="dxa" w:w="2436"/>
            <w:shd w:val="clear" w:color="auto" w:fill="F2F5F9"/>
            <w:vAlign w:val="center"/>
          </w:tcPr>
          <w:p>
            <w:r/>
            <w:r>
              <w:rPr>
                <w:rFonts w:ascii="Calibri" w:hAnsi="Calibri"/>
                <w:sz w:val="20"/>
              </w:rPr>
              <w:t>Gift-season cohort needs dedicated retention playbook</w:t>
            </w:r>
          </w:p>
        </w:tc>
      </w:tr>
      <w:tr>
        <w:tc>
          <w:tcPr>
            <w:tcW w:type="dxa" w:w="2436"/>
            <w:vAlign w:val="center"/>
          </w:tcPr>
          <w:p>
            <w:r/>
            <w:r>
              <w:rPr>
                <w:rFonts w:ascii="Calibri" w:hAnsi="Calibri"/>
                <w:sz w:val="20"/>
              </w:rPr>
              <w:t>H7</w:t>
            </w:r>
          </w:p>
        </w:tc>
        <w:tc>
          <w:tcPr>
            <w:tcW w:type="dxa" w:w="2436"/>
            <w:vAlign w:val="center"/>
          </w:tcPr>
          <w:p>
            <w:r/>
            <w:r>
              <w:rPr>
                <w:rFonts w:ascii="Calibri" w:hAnsi="Calibri"/>
                <w:sz w:val="20"/>
              </w:rPr>
              <w:t>Returns concentrated in small subset of customers/products</w:t>
            </w:r>
          </w:p>
        </w:tc>
        <w:tc>
          <w:tcPr>
            <w:tcW w:type="dxa" w:w="2436"/>
            <w:vAlign w:val="center"/>
          </w:tcPr>
          <w:p>
            <w:r/>
            <w:r>
              <w:rPr>
                <w:rFonts w:ascii="Calibri" w:hAnsi="Calibri"/>
                <w:sz w:val="20"/>
              </w:rPr>
              <w:t>Phase 2–3</w:t>
            </w:r>
          </w:p>
        </w:tc>
        <w:tc>
          <w:tcPr>
            <w:tcW w:type="dxa" w:w="2436"/>
            <w:vAlign w:val="center"/>
          </w:tcPr>
          <w:p>
            <w:r/>
            <w:r>
              <w:rPr>
                <w:rFonts w:ascii="Calibri" w:hAnsi="Calibri"/>
                <w:sz w:val="20"/>
              </w:rPr>
              <w:t>Operational fix; potential fraud / dissatisfaction signal</w:t>
            </w:r>
          </w:p>
        </w:tc>
      </w:tr>
    </w:tbl>
    <w:p>
      <w:pPr>
        <w:pStyle w:val="Heading1"/>
      </w:pPr>
      <w:r>
        <w:rPr>
          <w:rFonts w:ascii="Calibri" w:hAnsi="Calibri"/>
          <w:color w:val="0B2A4A"/>
        </w:rPr>
        <w:t>6. Project Roadmap</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0B2A4A"/>
            <w:vAlign w:val="center"/>
          </w:tcPr>
          <w:p>
            <w:r/>
            <w:r>
              <w:rPr>
                <w:rFonts w:ascii="Calibri" w:hAnsi="Calibri"/>
                <w:b/>
                <w:color w:val="FFFFFF"/>
                <w:sz w:val="21"/>
              </w:rPr>
              <w:t>Phase</w:t>
            </w:r>
          </w:p>
        </w:tc>
        <w:tc>
          <w:tcPr>
            <w:tcW w:type="dxa" w:w="3249"/>
            <w:shd w:val="clear" w:color="auto" w:fill="0B2A4A"/>
            <w:vAlign w:val="center"/>
          </w:tcPr>
          <w:p>
            <w:r/>
            <w:r>
              <w:rPr>
                <w:rFonts w:ascii="Calibri" w:hAnsi="Calibri"/>
                <w:b/>
                <w:color w:val="FFFFFF"/>
                <w:sz w:val="21"/>
              </w:rPr>
              <w:t>Deliverable</w:t>
            </w:r>
          </w:p>
        </w:tc>
        <w:tc>
          <w:tcPr>
            <w:tcW w:type="dxa" w:w="3249"/>
            <w:shd w:val="clear" w:color="auto" w:fill="0B2A4A"/>
            <w:vAlign w:val="center"/>
          </w:tcPr>
          <w:p>
            <w:r/>
            <w:r>
              <w:rPr>
                <w:rFonts w:ascii="Calibri" w:hAnsi="Calibri"/>
                <w:b/>
                <w:color w:val="FFFFFF"/>
                <w:sz w:val="21"/>
              </w:rPr>
              <w:t>Business Question Answered</w:t>
            </w:r>
          </w:p>
        </w:tc>
      </w:tr>
      <w:tr>
        <w:tc>
          <w:tcPr>
            <w:tcW w:type="dxa" w:w="3249"/>
            <w:vAlign w:val="center"/>
          </w:tcPr>
          <w:p>
            <w:r/>
            <w:r>
              <w:rPr>
                <w:rFonts w:ascii="Calibri" w:hAnsi="Calibri"/>
                <w:sz w:val="20"/>
              </w:rPr>
              <w:t>1. Business Understanding ✅</w:t>
            </w:r>
          </w:p>
        </w:tc>
        <w:tc>
          <w:tcPr>
            <w:tcW w:type="dxa" w:w="3249"/>
            <w:vAlign w:val="center"/>
          </w:tcPr>
          <w:p>
            <w:r/>
            <w:r>
              <w:rPr>
                <w:rFonts w:ascii="Calibri" w:hAnsi="Calibri"/>
                <w:sz w:val="20"/>
              </w:rPr>
              <w:t>This document + README v0.1</w:t>
            </w:r>
          </w:p>
        </w:tc>
        <w:tc>
          <w:tcPr>
            <w:tcW w:type="dxa" w:w="3249"/>
            <w:vAlign w:val="center"/>
          </w:tcPr>
          <w:p>
            <w:r/>
            <w:r>
              <w:rPr>
                <w:rFonts w:ascii="Calibri" w:hAnsi="Calibri"/>
                <w:sz w:val="20"/>
              </w:rPr>
              <w:t>"What problem are we actually solving?"</w:t>
            </w:r>
          </w:p>
        </w:tc>
      </w:tr>
      <w:tr>
        <w:tc>
          <w:tcPr>
            <w:tcW w:type="dxa" w:w="3249"/>
            <w:shd w:val="clear" w:color="auto" w:fill="F2F5F9"/>
            <w:vAlign w:val="center"/>
          </w:tcPr>
          <w:p>
            <w:r/>
            <w:r>
              <w:rPr>
                <w:rFonts w:ascii="Calibri" w:hAnsi="Calibri"/>
                <w:sz w:val="20"/>
              </w:rPr>
              <w:t>2. Dataset Understanding</w:t>
            </w:r>
          </w:p>
        </w:tc>
        <w:tc>
          <w:tcPr>
            <w:tcW w:type="dxa" w:w="3249"/>
            <w:shd w:val="clear" w:color="auto" w:fill="F2F5F9"/>
            <w:vAlign w:val="center"/>
          </w:tcPr>
          <w:p>
            <w:r/>
            <w:r>
              <w:rPr>
                <w:rFonts w:ascii="Calibri" w:hAnsi="Calibri"/>
                <w:sz w:val="20"/>
              </w:rPr>
              <w:t>Data dictionary + quality notebook</w:t>
            </w:r>
          </w:p>
        </w:tc>
        <w:tc>
          <w:tcPr>
            <w:tcW w:type="dxa" w:w="3249"/>
            <w:shd w:val="clear" w:color="auto" w:fill="F2F5F9"/>
            <w:vAlign w:val="center"/>
          </w:tcPr>
          <w:p>
            <w:r/>
            <w:r>
              <w:rPr>
                <w:rFonts w:ascii="Calibri" w:hAnsi="Calibri"/>
                <w:sz w:val="20"/>
              </w:rPr>
              <w:t>"Can we trust the data?"</w:t>
            </w:r>
          </w:p>
        </w:tc>
      </w:tr>
      <w:tr>
        <w:tc>
          <w:tcPr>
            <w:tcW w:type="dxa" w:w="3249"/>
            <w:vAlign w:val="center"/>
          </w:tcPr>
          <w:p>
            <w:r/>
            <w:r>
              <w:rPr>
                <w:rFonts w:ascii="Calibri" w:hAnsi="Calibri"/>
                <w:sz w:val="20"/>
              </w:rPr>
              <w:t>3. Exploratory Data Analysis</w:t>
            </w:r>
          </w:p>
        </w:tc>
        <w:tc>
          <w:tcPr>
            <w:tcW w:type="dxa" w:w="3249"/>
            <w:vAlign w:val="center"/>
          </w:tcPr>
          <w:p>
            <w:r/>
            <w:r>
              <w:rPr>
                <w:rFonts w:ascii="Calibri" w:hAnsi="Calibri"/>
                <w:sz w:val="20"/>
              </w:rPr>
              <w:t>EDA notebook + executive insights</w:t>
            </w:r>
          </w:p>
        </w:tc>
        <w:tc>
          <w:tcPr>
            <w:tcW w:type="dxa" w:w="3249"/>
            <w:vAlign w:val="center"/>
          </w:tcPr>
          <w:p>
            <w:r/>
            <w:r>
              <w:rPr>
                <w:rFonts w:ascii="Calibri" w:hAnsi="Calibri"/>
                <w:sz w:val="20"/>
              </w:rPr>
              <w:t>"What is the data telling us?"</w:t>
            </w:r>
          </w:p>
        </w:tc>
      </w:tr>
      <w:tr>
        <w:tc>
          <w:tcPr>
            <w:tcW w:type="dxa" w:w="3249"/>
            <w:shd w:val="clear" w:color="auto" w:fill="F2F5F9"/>
            <w:vAlign w:val="center"/>
          </w:tcPr>
          <w:p>
            <w:r/>
            <w:r>
              <w:rPr>
                <w:rFonts w:ascii="Calibri" w:hAnsi="Calibri"/>
                <w:sz w:val="20"/>
              </w:rPr>
              <w:t>4. Customer Analytics</w:t>
            </w:r>
          </w:p>
        </w:tc>
        <w:tc>
          <w:tcPr>
            <w:tcW w:type="dxa" w:w="3249"/>
            <w:shd w:val="clear" w:color="auto" w:fill="F2F5F9"/>
            <w:vAlign w:val="center"/>
          </w:tcPr>
          <w:p>
            <w:r/>
            <w:r>
              <w:rPr>
                <w:rFonts w:ascii="Calibri" w:hAnsi="Calibri"/>
                <w:sz w:val="20"/>
              </w:rPr>
              <w:t>Frequency, CLV, repeat-rate analysis</w:t>
            </w:r>
          </w:p>
        </w:tc>
        <w:tc>
          <w:tcPr>
            <w:tcW w:type="dxa" w:w="3249"/>
            <w:shd w:val="clear" w:color="auto" w:fill="F2F5F9"/>
            <w:vAlign w:val="center"/>
          </w:tcPr>
          <w:p>
            <w:r/>
            <w:r>
              <w:rPr>
                <w:rFonts w:ascii="Calibri" w:hAnsi="Calibri"/>
                <w:sz w:val="20"/>
              </w:rPr>
              <w:t>"Who drives the revenue?"</w:t>
            </w:r>
          </w:p>
        </w:tc>
      </w:tr>
      <w:tr>
        <w:tc>
          <w:tcPr>
            <w:tcW w:type="dxa" w:w="3249"/>
            <w:vAlign w:val="center"/>
          </w:tcPr>
          <w:p>
            <w:r/>
            <w:r>
              <w:rPr>
                <w:rFonts w:ascii="Calibri" w:hAnsi="Calibri"/>
                <w:sz w:val="20"/>
              </w:rPr>
              <w:t>5. RFM Analysis</w:t>
            </w:r>
          </w:p>
        </w:tc>
        <w:tc>
          <w:tcPr>
            <w:tcW w:type="dxa" w:w="3249"/>
            <w:vAlign w:val="center"/>
          </w:tcPr>
          <w:p>
            <w:r/>
            <w:r>
              <w:rPr>
                <w:rFonts w:ascii="Calibri" w:hAnsi="Calibri"/>
                <w:sz w:val="20"/>
              </w:rPr>
              <w:t>RFM scoring + CRM segments</w:t>
            </w:r>
          </w:p>
        </w:tc>
        <w:tc>
          <w:tcPr>
            <w:tcW w:type="dxa" w:w="3249"/>
            <w:vAlign w:val="center"/>
          </w:tcPr>
          <w:p>
            <w:r/>
            <w:r>
              <w:rPr>
                <w:rFonts w:ascii="Calibri" w:hAnsi="Calibri"/>
                <w:sz w:val="20"/>
              </w:rPr>
              <w:t>"Who is at risk? Who is loyal?"</w:t>
            </w:r>
          </w:p>
        </w:tc>
      </w:tr>
      <w:tr>
        <w:tc>
          <w:tcPr>
            <w:tcW w:type="dxa" w:w="3249"/>
            <w:shd w:val="clear" w:color="auto" w:fill="F2F5F9"/>
            <w:vAlign w:val="center"/>
          </w:tcPr>
          <w:p>
            <w:r/>
            <w:r>
              <w:rPr>
                <w:rFonts w:ascii="Calibri" w:hAnsi="Calibri"/>
                <w:sz w:val="20"/>
              </w:rPr>
              <w:t>6. Customer Segmentation (ML)</w:t>
            </w:r>
          </w:p>
        </w:tc>
        <w:tc>
          <w:tcPr>
            <w:tcW w:type="dxa" w:w="3249"/>
            <w:shd w:val="clear" w:color="auto" w:fill="F2F5F9"/>
            <w:vAlign w:val="center"/>
          </w:tcPr>
          <w:p>
            <w:r/>
            <w:r>
              <w:rPr>
                <w:rFonts w:ascii="Calibri" w:hAnsi="Calibri"/>
                <w:sz w:val="20"/>
              </w:rPr>
              <w:t>Clustering + business-interpretable PPTX</w:t>
            </w:r>
          </w:p>
        </w:tc>
        <w:tc>
          <w:tcPr>
            <w:tcW w:type="dxa" w:w="3249"/>
            <w:shd w:val="clear" w:color="auto" w:fill="F2F5F9"/>
            <w:vAlign w:val="center"/>
          </w:tcPr>
          <w:p>
            <w:r/>
            <w:r>
              <w:rPr>
                <w:rFonts w:ascii="Calibri" w:hAnsi="Calibri"/>
                <w:sz w:val="20"/>
              </w:rPr>
              <w:t>"How should we treat each group?"</w:t>
            </w:r>
          </w:p>
        </w:tc>
      </w:tr>
      <w:tr>
        <w:tc>
          <w:tcPr>
            <w:tcW w:type="dxa" w:w="3249"/>
            <w:vAlign w:val="center"/>
          </w:tcPr>
          <w:p>
            <w:r/>
            <w:r>
              <w:rPr>
                <w:rFonts w:ascii="Calibri" w:hAnsi="Calibri"/>
                <w:sz w:val="20"/>
              </w:rPr>
              <w:t>7. AI Marketing Insights Agent</w:t>
            </w:r>
          </w:p>
        </w:tc>
        <w:tc>
          <w:tcPr>
            <w:tcW w:type="dxa" w:w="3249"/>
            <w:vAlign w:val="center"/>
          </w:tcPr>
          <w:p>
            <w:r/>
            <w:r>
              <w:rPr>
                <w:rFonts w:ascii="Calibri" w:hAnsi="Calibri"/>
                <w:sz w:val="20"/>
              </w:rPr>
              <w:t>Agentic AI design + prototype</w:t>
            </w:r>
          </w:p>
        </w:tc>
        <w:tc>
          <w:tcPr>
            <w:tcW w:type="dxa" w:w="3249"/>
            <w:vAlign w:val="center"/>
          </w:tcPr>
          <w:p>
            <w:r/>
            <w:r>
              <w:rPr>
                <w:rFonts w:ascii="Calibri" w:hAnsi="Calibri"/>
                <w:sz w:val="20"/>
              </w:rPr>
              <w:t>"How do we scale insight to decisions?"</w:t>
            </w:r>
          </w:p>
        </w:tc>
      </w:tr>
      <w:tr>
        <w:tc>
          <w:tcPr>
            <w:tcW w:type="dxa" w:w="3249"/>
            <w:shd w:val="clear" w:color="auto" w:fill="F2F5F9"/>
            <w:vAlign w:val="center"/>
          </w:tcPr>
          <w:p>
            <w:r/>
            <w:r>
              <w:rPr>
                <w:rFonts w:ascii="Calibri" w:hAnsi="Calibri"/>
                <w:sz w:val="20"/>
              </w:rPr>
              <w:t>8. Resume Integration</w:t>
            </w:r>
          </w:p>
        </w:tc>
        <w:tc>
          <w:tcPr>
            <w:tcW w:type="dxa" w:w="3249"/>
            <w:shd w:val="clear" w:color="auto" w:fill="F2F5F9"/>
            <w:vAlign w:val="center"/>
          </w:tcPr>
          <w:p>
            <w:r/>
            <w:r>
              <w:rPr>
                <w:rFonts w:ascii="Calibri" w:hAnsi="Calibri"/>
                <w:sz w:val="20"/>
              </w:rPr>
              <w:t>Resume bullets, LinkedIn, STAR stories</w:t>
            </w:r>
          </w:p>
        </w:tc>
        <w:tc>
          <w:tcPr>
            <w:tcW w:type="dxa" w:w="3249"/>
            <w:shd w:val="clear" w:color="auto" w:fill="F2F5F9"/>
            <w:vAlign w:val="center"/>
          </w:tcPr>
          <w:p>
            <w:r/>
            <w:r>
              <w:rPr>
                <w:rFonts w:ascii="Calibri" w:hAnsi="Calibri"/>
                <w:sz w:val="20"/>
              </w:rPr>
              <w:t>"How does this become a job offer?"</w:t>
            </w:r>
          </w:p>
        </w:tc>
      </w:tr>
      <w:tr>
        <w:tc>
          <w:tcPr>
            <w:tcW w:type="dxa" w:w="3249"/>
            <w:vAlign w:val="center"/>
          </w:tcPr>
          <w:p>
            <w:r/>
            <w:r>
              <w:rPr>
                <w:rFonts w:ascii="Calibri" w:hAnsi="Calibri"/>
                <w:sz w:val="20"/>
              </w:rPr>
              <w:t>9. Application Package</w:t>
            </w:r>
          </w:p>
        </w:tc>
        <w:tc>
          <w:tcPr>
            <w:tcW w:type="dxa" w:w="3249"/>
            <w:vAlign w:val="center"/>
          </w:tcPr>
          <w:p>
            <w:r/>
            <w:r>
              <w:rPr>
                <w:rFonts w:ascii="Calibri" w:hAnsi="Calibri"/>
                <w:sz w:val="20"/>
              </w:rPr>
              <w:t>Resume PDF, PPTX, GitHub, Interview Kit</w:t>
            </w:r>
          </w:p>
        </w:tc>
        <w:tc>
          <w:tcPr>
            <w:tcW w:type="dxa" w:w="3249"/>
            <w:vAlign w:val="center"/>
          </w:tcPr>
          <w:p>
            <w:r/>
            <w:r>
              <w:rPr>
                <w:rFonts w:ascii="Calibri" w:hAnsi="Calibri"/>
                <w:sz w:val="20"/>
              </w:rPr>
              <w:t>Final deliverable to the recruiter</w:t>
            </w:r>
          </w:p>
        </w:tc>
      </w:tr>
    </w:tbl>
    <w:p>
      <w:pPr>
        <w:pStyle w:val="Heading2"/>
      </w:pPr>
      <w:r>
        <w:rPr>
          <w:rFonts w:ascii="Calibri" w:hAnsi="Calibri"/>
          <w:color w:val="0B2A4A"/>
        </w:rPr>
        <w:t>6.1 Risk Register</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0B2A4A"/>
            <w:vAlign w:val="center"/>
          </w:tcPr>
          <w:p>
            <w:r/>
            <w:r>
              <w:rPr>
                <w:rFonts w:ascii="Calibri" w:hAnsi="Calibri"/>
                <w:b/>
                <w:color w:val="FFFFFF"/>
                <w:sz w:val="21"/>
              </w:rPr>
              <w:t>Risk</w:t>
            </w:r>
          </w:p>
        </w:tc>
        <w:tc>
          <w:tcPr>
            <w:tcW w:type="dxa" w:w="2436"/>
            <w:shd w:val="clear" w:color="auto" w:fill="0B2A4A"/>
            <w:vAlign w:val="center"/>
          </w:tcPr>
          <w:p>
            <w:r/>
            <w:r>
              <w:rPr>
                <w:rFonts w:ascii="Calibri" w:hAnsi="Calibri"/>
                <w:b/>
                <w:color w:val="FFFFFF"/>
                <w:sz w:val="21"/>
              </w:rPr>
              <w:t>Likelihood</w:t>
            </w:r>
          </w:p>
        </w:tc>
        <w:tc>
          <w:tcPr>
            <w:tcW w:type="dxa" w:w="2436"/>
            <w:shd w:val="clear" w:color="auto" w:fill="0B2A4A"/>
            <w:vAlign w:val="center"/>
          </w:tcPr>
          <w:p>
            <w:r/>
            <w:r>
              <w:rPr>
                <w:rFonts w:ascii="Calibri" w:hAnsi="Calibri"/>
                <w:b/>
                <w:color w:val="FFFFFF"/>
                <w:sz w:val="21"/>
              </w:rPr>
              <w:t>Impact</w:t>
            </w:r>
          </w:p>
        </w:tc>
        <w:tc>
          <w:tcPr>
            <w:tcW w:type="dxa" w:w="2436"/>
            <w:shd w:val="clear" w:color="auto" w:fill="0B2A4A"/>
            <w:vAlign w:val="center"/>
          </w:tcPr>
          <w:p>
            <w:r/>
            <w:r>
              <w:rPr>
                <w:rFonts w:ascii="Calibri" w:hAnsi="Calibri"/>
                <w:b/>
                <w:color w:val="FFFFFF"/>
                <w:sz w:val="21"/>
              </w:rPr>
              <w:t>Mitigation</w:t>
            </w:r>
          </w:p>
        </w:tc>
      </w:tr>
      <w:tr>
        <w:tc>
          <w:tcPr>
            <w:tcW w:type="dxa" w:w="2436"/>
            <w:vAlign w:val="center"/>
          </w:tcPr>
          <w:p>
            <w:r/>
            <w:r>
              <w:rPr>
                <w:rFonts w:ascii="Calibri" w:hAnsi="Calibri"/>
                <w:sz w:val="20"/>
              </w:rPr>
              <w:t>Dataset quality issues (returns, missing CustomerID)</w:t>
            </w:r>
          </w:p>
        </w:tc>
        <w:tc>
          <w:tcPr>
            <w:tcW w:type="dxa" w:w="2436"/>
            <w:vAlign w:val="center"/>
          </w:tcPr>
          <w:p>
            <w:r/>
            <w:r>
              <w:rPr>
                <w:rFonts w:ascii="Calibri" w:hAnsi="Calibri"/>
                <w:sz w:val="20"/>
              </w:rPr>
              <w:t>High</w:t>
            </w:r>
          </w:p>
        </w:tc>
        <w:tc>
          <w:tcPr>
            <w:tcW w:type="dxa" w:w="2436"/>
            <w:vAlign w:val="center"/>
          </w:tcPr>
          <w:p>
            <w:r/>
            <w:r>
              <w:rPr>
                <w:rFonts w:ascii="Calibri" w:hAnsi="Calibri"/>
                <w:sz w:val="20"/>
              </w:rPr>
              <w:t>Medium</w:t>
            </w:r>
          </w:p>
        </w:tc>
        <w:tc>
          <w:tcPr>
            <w:tcW w:type="dxa" w:w="2436"/>
            <w:vAlign w:val="center"/>
          </w:tcPr>
          <w:p>
            <w:r/>
            <w:r>
              <w:rPr>
                <w:rFonts w:ascii="Calibri" w:hAnsi="Calibri"/>
                <w:sz w:val="20"/>
              </w:rPr>
              <w:t>Document all cleaning decisions in Phase 2</w:t>
            </w:r>
          </w:p>
        </w:tc>
      </w:tr>
      <w:tr>
        <w:tc>
          <w:tcPr>
            <w:tcW w:type="dxa" w:w="2436"/>
            <w:shd w:val="clear" w:color="auto" w:fill="F2F5F9"/>
            <w:vAlign w:val="center"/>
          </w:tcPr>
          <w:p>
            <w:r/>
            <w:r>
              <w:rPr>
                <w:rFonts w:ascii="Calibri" w:hAnsi="Calibri"/>
                <w:sz w:val="20"/>
              </w:rPr>
              <w:t>Over-engineering the ML in Phase 6</w:t>
            </w:r>
          </w:p>
        </w:tc>
        <w:tc>
          <w:tcPr>
            <w:tcW w:type="dxa" w:w="2436"/>
            <w:shd w:val="clear" w:color="auto" w:fill="F2F5F9"/>
            <w:vAlign w:val="center"/>
          </w:tcPr>
          <w:p>
            <w:r/>
            <w:r>
              <w:rPr>
                <w:rFonts w:ascii="Calibri" w:hAnsi="Calibri"/>
                <w:sz w:val="20"/>
              </w:rPr>
              <w:t>Medium</w:t>
            </w:r>
          </w:p>
        </w:tc>
        <w:tc>
          <w:tcPr>
            <w:tcW w:type="dxa" w:w="2436"/>
            <w:shd w:val="clear" w:color="auto" w:fill="F2F5F9"/>
            <w:vAlign w:val="center"/>
          </w:tcPr>
          <w:p>
            <w:r/>
            <w:r>
              <w:rPr>
                <w:rFonts w:ascii="Calibri" w:hAnsi="Calibri"/>
                <w:sz w:val="20"/>
              </w:rPr>
              <w:t>High</w:t>
            </w:r>
          </w:p>
        </w:tc>
        <w:tc>
          <w:tcPr>
            <w:tcW w:type="dxa" w:w="2436"/>
            <w:shd w:val="clear" w:color="auto" w:fill="F2F5F9"/>
            <w:vAlign w:val="center"/>
          </w:tcPr>
          <w:p>
            <w:r/>
            <w:r>
              <w:rPr>
                <w:rFonts w:ascii="Calibri" w:hAnsi="Calibri"/>
                <w:sz w:val="20"/>
              </w:rPr>
              <w:t>Keep clusters business-interpretable, not technically optimal</w:t>
            </w:r>
          </w:p>
        </w:tc>
      </w:tr>
      <w:tr>
        <w:tc>
          <w:tcPr>
            <w:tcW w:type="dxa" w:w="2436"/>
            <w:vAlign w:val="center"/>
          </w:tcPr>
          <w:p>
            <w:r/>
            <w:r>
              <w:rPr>
                <w:rFonts w:ascii="Calibri" w:hAnsi="Calibri"/>
                <w:sz w:val="20"/>
              </w:rPr>
              <w:t>AI agent feels like a demo, not a product</w:t>
            </w:r>
          </w:p>
        </w:tc>
        <w:tc>
          <w:tcPr>
            <w:tcW w:type="dxa" w:w="2436"/>
            <w:vAlign w:val="center"/>
          </w:tcPr>
          <w:p>
            <w:r/>
            <w:r>
              <w:rPr>
                <w:rFonts w:ascii="Calibri" w:hAnsi="Calibri"/>
                <w:sz w:val="20"/>
              </w:rPr>
              <w:t>Medium</w:t>
            </w:r>
          </w:p>
        </w:tc>
        <w:tc>
          <w:tcPr>
            <w:tcW w:type="dxa" w:w="2436"/>
            <w:vAlign w:val="center"/>
          </w:tcPr>
          <w:p>
            <w:r/>
            <w:r>
              <w:rPr>
                <w:rFonts w:ascii="Calibri" w:hAnsi="Calibri"/>
                <w:sz w:val="20"/>
              </w:rPr>
              <w:t>High</w:t>
            </w:r>
          </w:p>
        </w:tc>
        <w:tc>
          <w:tcPr>
            <w:tcW w:type="dxa" w:w="2436"/>
            <w:vAlign w:val="center"/>
          </w:tcPr>
          <w:p>
            <w:r/>
            <w:r>
              <w:rPr>
                <w:rFonts w:ascii="Calibri" w:hAnsi="Calibri"/>
                <w:sz w:val="20"/>
              </w:rPr>
              <w:t>Tie to real RFM outputs; frame as decision-support</w:t>
            </w:r>
          </w:p>
        </w:tc>
      </w:tr>
      <w:tr>
        <w:tc>
          <w:tcPr>
            <w:tcW w:type="dxa" w:w="2436"/>
            <w:shd w:val="clear" w:color="auto" w:fill="F2F5F9"/>
            <w:vAlign w:val="center"/>
          </w:tcPr>
          <w:p>
            <w:r/>
            <w:r>
              <w:rPr>
                <w:rFonts w:ascii="Calibri" w:hAnsi="Calibri"/>
                <w:sz w:val="20"/>
              </w:rPr>
              <w:t>Phase 8–9 polish gets rushed</w:t>
            </w:r>
          </w:p>
        </w:tc>
        <w:tc>
          <w:tcPr>
            <w:tcW w:type="dxa" w:w="2436"/>
            <w:shd w:val="clear" w:color="auto" w:fill="F2F5F9"/>
            <w:vAlign w:val="center"/>
          </w:tcPr>
          <w:p>
            <w:r/>
            <w:r>
              <w:rPr>
                <w:rFonts w:ascii="Calibri" w:hAnsi="Calibri"/>
                <w:sz w:val="20"/>
              </w:rPr>
              <w:t>Medium</w:t>
            </w:r>
          </w:p>
        </w:tc>
        <w:tc>
          <w:tcPr>
            <w:tcW w:type="dxa" w:w="2436"/>
            <w:shd w:val="clear" w:color="auto" w:fill="F2F5F9"/>
            <w:vAlign w:val="center"/>
          </w:tcPr>
          <w:p>
            <w:r/>
            <w:r>
              <w:rPr>
                <w:rFonts w:ascii="Calibri" w:hAnsi="Calibri"/>
                <w:sz w:val="20"/>
              </w:rPr>
              <w:t>Very High</w:t>
            </w:r>
          </w:p>
        </w:tc>
        <w:tc>
          <w:tcPr>
            <w:tcW w:type="dxa" w:w="2436"/>
            <w:shd w:val="clear" w:color="auto" w:fill="F2F5F9"/>
            <w:vAlign w:val="center"/>
          </w:tcPr>
          <w:p>
            <w:r/>
            <w:r>
              <w:rPr>
                <w:rFonts w:ascii="Calibri" w:hAnsi="Calibri"/>
                <w:sz w:val="20"/>
              </w:rPr>
              <w:t>Treat resume integration as first-class deliverable</w:t>
            </w:r>
          </w:p>
        </w:tc>
      </w:tr>
    </w:tbl>
    <w:p>
      <w:pPr>
        <w:pStyle w:val="Heading1"/>
      </w:pPr>
      <w:r>
        <w:rPr>
          <w:rFonts w:ascii="Calibri" w:hAnsi="Calibri"/>
          <w:color w:val="0B2A4A"/>
        </w:rPr>
        <w:t>7. So What? — The Business Bridge</w:t>
      </w:r>
    </w:p>
    <w:p>
      <w:r>
        <w:rPr>
          <w:rFonts w:ascii="Calibri" w:hAnsi="Calibri"/>
          <w:b w:val="0"/>
          <w:i w:val="0"/>
          <w:sz w:val="22"/>
        </w:rPr>
        <w:t>Every analytical deliverable in subsequent phases will be tied back to one of four business levers:</w:t>
      </w:r>
    </w:p>
    <w:p>
      <w:pPr>
        <w:pStyle w:val="ListBullet"/>
        <w:ind w:left="360"/>
      </w:pPr>
      <w:r>
        <w:rPr>
          <w:rFonts w:ascii="Calibri" w:hAnsi="Calibri"/>
          <w:sz w:val="22"/>
        </w:rPr>
        <w:t>Revenue Protection — keeping the top 20% of customers from churning</w:t>
      </w:r>
    </w:p>
    <w:p>
      <w:pPr>
        <w:pStyle w:val="ListBullet"/>
        <w:ind w:left="360"/>
      </w:pPr>
      <w:r>
        <w:rPr>
          <w:rFonts w:ascii="Calibri" w:hAnsi="Calibri"/>
          <w:sz w:val="22"/>
        </w:rPr>
        <w:t>Revenue Expansion — moving mid-tier customers up the value ladder</w:t>
      </w:r>
    </w:p>
    <w:p>
      <w:pPr>
        <w:pStyle w:val="ListBullet"/>
        <w:ind w:left="360"/>
      </w:pPr>
      <w:r>
        <w:rPr>
          <w:rFonts w:ascii="Calibri" w:hAnsi="Calibri"/>
          <w:sz w:val="22"/>
        </w:rPr>
        <w:t>Cost Reduction — stopping over-investment in unprofitable cohorts</w:t>
      </w:r>
    </w:p>
    <w:p>
      <w:pPr>
        <w:pStyle w:val="ListBullet"/>
        <w:ind w:left="360"/>
      </w:pPr>
      <w:r>
        <w:rPr>
          <w:rFonts w:ascii="Calibri" w:hAnsi="Calibri"/>
          <w:sz w:val="22"/>
        </w:rPr>
        <w:t>Decision Velocity — shrinking insight-to-action time from weeks to minutes via the AI Agent</w:t>
      </w:r>
    </w:p>
    <w:p>
      <w:r>
        <w:rPr>
          <w:rFonts w:ascii="Calibri" w:hAnsi="Calibri"/>
          <w:b/>
          <w:i w:val="0"/>
          <w:color w:val="0B2A4A"/>
          <w:sz w:val="22"/>
        </w:rPr>
        <w:t>If an analysis cannot be tied to one of these four levers, it does not ship.</w:t>
      </w:r>
    </w:p>
    <w:p>
      <w:pPr>
        <w:pStyle w:val="Heading1"/>
      </w:pPr>
      <w:r>
        <w:rPr>
          <w:rFonts w:ascii="Calibri" w:hAnsi="Calibri"/>
          <w:color w:val="0B2A4A"/>
        </w:rPr>
        <w:t>8. Why This Project, Why This Role</w:t>
      </w:r>
    </w:p>
    <w:p>
      <w:r>
        <w:rPr>
          <w:rFonts w:ascii="Calibri" w:hAnsi="Calibri"/>
          <w:b w:val="0"/>
          <w:i w:val="0"/>
          <w:sz w:val="22"/>
        </w:rPr>
        <w:t>This project is intentionally built as a miniature of an enterprise client engagement focused on decision intelligence through Data + AI + Agentic systems, with explicit focus on Retail, Fashion, Beauty, and Platform businesses:</w:t>
      </w:r>
    </w:p>
    <w:p>
      <w:pPr>
        <w:pStyle w:val="ListBullet"/>
        <w:ind w:left="360"/>
      </w:pPr>
      <w:r>
        <w:rPr>
          <w:rFonts w:ascii="Calibri" w:hAnsi="Calibri"/>
          <w:sz w:val="22"/>
        </w:rPr>
        <w:t>The dataset is real-world retail — matching the target industries.</w:t>
      </w:r>
    </w:p>
    <w:p>
      <w:pPr>
        <w:pStyle w:val="ListBullet"/>
        <w:ind w:left="360"/>
      </w:pPr>
      <w:r>
        <w:rPr>
          <w:rFonts w:ascii="Calibri" w:hAnsi="Calibri"/>
          <w:sz w:val="22"/>
        </w:rPr>
        <w:t>The framing is consulting-grade — stakeholders, KPIs, hypotheses, scope.</w:t>
      </w:r>
    </w:p>
    <w:p>
      <w:pPr>
        <w:pStyle w:val="ListBullet"/>
        <w:ind w:left="360"/>
      </w:pPr>
      <w:r>
        <w:rPr>
          <w:rFonts w:ascii="Calibri" w:hAnsi="Calibri"/>
          <w:sz w:val="22"/>
        </w:rPr>
        <w:t>The deliverables span the full stack: Analytics → ML → Agentic AI → BI Communication.</w:t>
      </w:r>
    </w:p>
    <w:p>
      <w:pPr>
        <w:pStyle w:val="ListBullet"/>
        <w:ind w:left="360"/>
      </w:pPr>
      <w:r>
        <w:rPr>
          <w:rFonts w:ascii="Calibri" w:hAnsi="Calibri"/>
          <w:sz w:val="22"/>
        </w:rPr>
        <w:t>The final artifact is a decision system, not a notebook.</w:t>
      </w:r>
    </w:p>
    <w:p>
      <w:r>
        <w:rPr>
          <w:rFonts w:ascii="Calibri" w:hAnsi="Calibri"/>
          <w:b/>
          <w:i/>
          <w:color w:val="0B2A4A"/>
          <w:sz w:val="22"/>
        </w:rPr>
        <w:t>This is not a coding exercise. It is a demonstration of how I would think and deliver on Day 30 of the job.</w:t>
      </w:r>
    </w:p>
    <w:p>
      <w:pPr>
        <w:pBdr>
          <w:bottom w:val="single" w:sz="6" w:space="1" w:color="1F6FB5"/>
        </w:pBdr>
      </w:pPr>
    </w:p>
    <w:p>
      <w:r>
        <w:rPr>
          <w:rFonts w:ascii="Calibri" w:hAnsi="Calibri"/>
          <w:b w:val="0"/>
          <w:i/>
          <w:color w:val="555B66"/>
          <w:sz w:val="20"/>
        </w:rPr>
        <w:t>End of Phase 1 — Next phase: Dataset Understanding (Data Dictionary, Quality Assessment).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