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F6FB5"/>
          <w:sz w:val="22"/>
        </w:rPr>
        <w:t>PHASE 7 — SYSTEM DESIGN</w:t>
      </w:r>
    </w:p>
    <w:p>
      <w:r>
        <w:rPr>
          <w:rFonts w:ascii="Calibri" w:hAnsi="Calibri"/>
          <w:b/>
          <w:color w:val="0B2A4A"/>
          <w:sz w:val="56"/>
        </w:rPr>
        <w:t>AI Marketing Insights Agent</w:t>
      </w:r>
    </w:p>
    <w:p>
      <w:r>
        <w:rPr>
          <w:rFonts w:ascii="Calibri" w:hAnsi="Calibri"/>
          <w:b w:val="0"/>
          <w:i/>
          <w:color w:val="555B66"/>
          <w:sz w:val="24"/>
        </w:rPr>
        <w:t>Agentic AI for CRM Decision Support · Design Document</w:t>
      </w:r>
    </w:p>
    <w:p>
      <w:r>
        <w:rPr>
          <w:rFonts w:ascii="Calibri" w:hAnsi="Calibri"/>
          <w:b w:val="0"/>
          <w:i w:val="0"/>
          <w:color w:val="555B66"/>
          <w:sz w:val="20"/>
        </w:rPr>
        <w:t>Customer Segmentation &amp; CRM Intelligence Platform</w:t>
      </w:r>
    </w:p>
    <w:p>
      <w:r>
        <w:rPr>
          <w:rFonts w:ascii="Calibri" w:hAnsi="Calibri"/>
          <w:b w:val="0"/>
          <w:i w:val="0"/>
          <w:color w:val="555B66"/>
          <w:sz w:val="20"/>
        </w:rPr>
        <w:t>Version 1.0 · Phase 7 Baseline</w:t>
      </w:r>
    </w:p>
    <w:p/>
    <w:p>
      <w:pPr>
        <w:pStyle w:val="Heading1"/>
      </w:pPr>
      <w:r>
        <w:rPr>
          <w:rFonts w:ascii="Calibri" w:hAnsi="Calibri"/>
          <w:color w:val="0B2A4A"/>
        </w:rPr>
        <w:t>1. Executive Summary</w:t>
      </w:r>
    </w:p>
    <w:p>
      <w:r>
        <w:rPr>
          <w:rFonts w:ascii="Calibri" w:hAnsi="Calibri"/>
          <w:b w:val="0"/>
          <w:i w:val="0"/>
          <w:sz w:val="22"/>
        </w:rPr>
        <w:t>The AI Marketing Insights Agent is a decision-support system that converts the project's 5-persona ML segmentation into CMO-ready executive briefs, churn alerts, revenue-opportunity quantifications, and machine-readable campaign briefs — on demand.</w:t>
      </w:r>
    </w:p>
    <w:p>
      <w:r>
        <w:rPr>
          <w:rFonts w:ascii="Calibri" w:hAnsi="Calibri"/>
          <w:b/>
          <w:i w:val="0"/>
          <w:color w:val="0B2A4A"/>
          <w:sz w:val="22"/>
        </w:rPr>
        <w:t>Critical design principle:</w:t>
      </w:r>
    </w:p>
    <w:p>
      <w:r>
        <w:rPr>
          <w:rFonts w:ascii="Calibri" w:hAnsi="Calibri"/>
          <w:b/>
          <w:i/>
          <w:color w:val="0B2A4A"/>
          <w:sz w:val="22"/>
        </w:rPr>
        <w:t>"The LLM renders, it does not decide."</w:t>
      </w:r>
    </w:p>
    <w:p>
      <w:r>
        <w:rPr>
          <w:rFonts w:ascii="Calibri" w:hAnsi="Calibri"/>
          <w:b w:val="0"/>
          <w:i w:val="0"/>
          <w:sz w:val="22"/>
        </w:rPr>
        <w:t>All numerical outputs are produced by deterministic, data-grounded tools that operate directly on the Phase 6 segmented customer table. The LLM is responsible only for narrative rendering of structured inputs. This design eliminates hallucination as a failure mode while preserving executive-quality communication.</w:t>
      </w:r>
    </w:p>
    <w:p>
      <w:pPr>
        <w:pStyle w:val="Heading1"/>
      </w:pPr>
      <w:r>
        <w:rPr>
          <w:rFonts w:ascii="Calibri" w:hAnsi="Calibri"/>
          <w:color w:val="0B2A4A"/>
        </w:rPr>
        <w:t>2. Business Problem the Agent Solves</w:t>
      </w:r>
    </w:p>
    <w:p>
      <w:r>
        <w:rPr>
          <w:rFonts w:ascii="Calibri" w:hAnsi="Calibri"/>
          <w:b w:val="0"/>
          <w:i w:val="0"/>
          <w:sz w:val="22"/>
        </w:rPr>
        <w:t>Phases 1–6 produced a rich segmentation system: 5 ML personas, 9 RFM segments, per-customer features, and named campaign playbooks. But these outputs sit in CSVs and notebooks — not in CMO conversations, weekly business reviews, or CRM automation flows.</w:t>
      </w:r>
    </w:p>
    <w:p>
      <w:r>
        <w:rPr>
          <w:rFonts w:ascii="Calibri" w:hAnsi="Calibri"/>
          <w:b w:val="0"/>
          <w:i w:val="0"/>
          <w:sz w:val="22"/>
        </w:rPr>
        <w:t>The agent closes that gap by:</w:t>
      </w:r>
    </w:p>
    <w:p>
      <w:pPr>
        <w:pStyle w:val="ListBullet"/>
      </w:pPr>
      <w:r>
        <w:rPr>
          <w:rFonts w:ascii="Calibri" w:hAnsi="Calibri"/>
          <w:sz w:val="22"/>
        </w:rPr>
        <w:t>Producing on-demand executive briefs in CMO-readable language</w:t>
      </w:r>
    </w:p>
    <w:p>
      <w:pPr>
        <w:pStyle w:val="ListBullet"/>
      </w:pPr>
      <w:r>
        <w:rPr>
          <w:rFonts w:ascii="Calibri" w:hAnsi="Calibri"/>
          <w:sz w:val="22"/>
        </w:rPr>
        <w:t>Surfacing high-value churn-risk customers within VIP and Loyal tiers</w:t>
      </w:r>
    </w:p>
    <w:p>
      <w:pPr>
        <w:pStyle w:val="ListBullet"/>
      </w:pPr>
      <w:r>
        <w:rPr>
          <w:rFonts w:ascii="Calibri" w:hAnsi="Calibri"/>
          <w:sz w:val="22"/>
        </w:rPr>
        <w:t>Quantifying the revenue upside of persona-migration campaigns</w:t>
      </w:r>
    </w:p>
    <w:p>
      <w:pPr>
        <w:pStyle w:val="ListBullet"/>
      </w:pPr>
      <w:r>
        <w:rPr>
          <w:rFonts w:ascii="Calibri" w:hAnsi="Calibri"/>
          <w:sz w:val="22"/>
        </w:rPr>
        <w:t>Exporting structured campaign briefs for direct ingestion by CRM and marketing-automation platforms</w:t>
      </w:r>
    </w:p>
    <w:p>
      <w:r>
        <w:rPr>
          <w:rFonts w:ascii="Calibri" w:hAnsi="Calibri"/>
          <w:b/>
          <w:i/>
          <w:color w:val="0B2A4A"/>
          <w:sz w:val="22"/>
        </w:rPr>
        <w:t>Time-to-insight target: weekly executive reviews informed by data in minutes, not days.</w:t>
      </w:r>
    </w:p>
    <w:p>
      <w:pPr>
        <w:pStyle w:val="Heading1"/>
      </w:pPr>
      <w:r>
        <w:rPr>
          <w:rFonts w:ascii="Calibri" w:hAnsi="Calibri"/>
          <w:color w:val="0B2A4A"/>
        </w:rPr>
        <w:t>3. System Architecture</w:t>
      </w:r>
    </w:p>
    <w:p>
      <w:r>
        <w:rPr>
          <w:rFonts w:ascii="Calibri" w:hAnsi="Calibri"/>
          <w:b w:val="0"/>
          <w:i w:val="0"/>
          <w:sz w:val="22"/>
        </w:rPr>
        <w:t>Three layers:</w:t>
      </w:r>
    </w:p>
    <w:p>
      <w:r>
        <w:rPr>
          <w:rFonts w:ascii="Calibri" w:hAnsi="Calibri"/>
          <w:b/>
          <w:i w:val="0"/>
          <w:color w:val="0B2A4A"/>
          <w:sz w:val="22"/>
        </w:rPr>
        <w:t>3.1 Input Layer</w:t>
      </w:r>
    </w:p>
    <w:p>
      <w:pPr>
        <w:pStyle w:val="ListBullet"/>
      </w:pPr>
      <w:r>
        <w:rPr>
          <w:rFonts w:ascii="Calibri" w:hAnsi="Calibri"/>
          <w:sz w:val="22"/>
        </w:rPr>
        <w:t>Phase 6 ML segments (customer_segments_ml.csv) — 4,338 customers · persona label per customer</w:t>
      </w:r>
    </w:p>
    <w:p>
      <w:pPr>
        <w:pStyle w:val="ListBullet"/>
      </w:pPr>
      <w:r>
        <w:rPr>
          <w:rFonts w:ascii="Calibri" w:hAnsi="Calibri"/>
          <w:sz w:val="22"/>
        </w:rPr>
        <w:t>Phase 5 RFM scores (customer_rfm.csv)</w:t>
      </w:r>
    </w:p>
    <w:p>
      <w:pPr>
        <w:pStyle w:val="ListBullet"/>
      </w:pPr>
      <w:r>
        <w:rPr>
          <w:rFonts w:ascii="Calibri" w:hAnsi="Calibri"/>
          <w:sz w:val="22"/>
        </w:rPr>
        <w:t>Phase 4 customer features (customer_features.csv) — CLV, cohort, repeat behavior</w:t>
      </w:r>
    </w:p>
    <w:p>
      <w:pPr>
        <w:pStyle w:val="ListBullet"/>
      </w:pPr>
      <w:r>
        <w:rPr>
          <w:rFonts w:ascii="Calibri" w:hAnsi="Calibri"/>
          <w:sz w:val="22"/>
        </w:rPr>
        <w:t>Per-persona playbook (Phase 6 campaign rules)</w:t>
      </w:r>
    </w:p>
    <w:p>
      <w:r>
        <w:rPr>
          <w:rFonts w:ascii="Calibri" w:hAnsi="Calibri"/>
          <w:b/>
          <w:i w:val="0"/>
          <w:color w:val="0B2A4A"/>
          <w:sz w:val="22"/>
        </w:rPr>
        <w:t>3.2 Agent Core — 4 deterministic tools + LLM rendering layer</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0B2A4A"/>
            <w:vAlign w:val="center"/>
          </w:tcPr>
          <w:p>
            <w:r/>
            <w:r>
              <w:rPr>
                <w:rFonts w:ascii="Calibri" w:hAnsi="Calibri"/>
                <w:b/>
                <w:color w:val="FFFFFF"/>
                <w:sz w:val="21"/>
              </w:rPr>
              <w:t>Tool</w:t>
            </w:r>
          </w:p>
        </w:tc>
        <w:tc>
          <w:tcPr>
            <w:tcW w:type="dxa" w:w="2436"/>
            <w:shd w:val="clear" w:color="auto" w:fill="0B2A4A"/>
            <w:vAlign w:val="center"/>
          </w:tcPr>
          <w:p>
            <w:r/>
            <w:r>
              <w:rPr>
                <w:rFonts w:ascii="Calibri" w:hAnsi="Calibri"/>
                <w:b/>
                <w:color w:val="FFFFFF"/>
                <w:sz w:val="21"/>
              </w:rPr>
              <w:t>Input</w:t>
            </w:r>
          </w:p>
        </w:tc>
        <w:tc>
          <w:tcPr>
            <w:tcW w:type="dxa" w:w="2436"/>
            <w:shd w:val="clear" w:color="auto" w:fill="0B2A4A"/>
            <w:vAlign w:val="center"/>
          </w:tcPr>
          <w:p>
            <w:r/>
            <w:r>
              <w:rPr>
                <w:rFonts w:ascii="Calibri" w:hAnsi="Calibri"/>
                <w:b/>
                <w:color w:val="FFFFFF"/>
                <w:sz w:val="21"/>
              </w:rPr>
              <w:t>Output</w:t>
            </w:r>
          </w:p>
        </w:tc>
        <w:tc>
          <w:tcPr>
            <w:tcW w:type="dxa" w:w="2436"/>
            <w:shd w:val="clear" w:color="auto" w:fill="0B2A4A"/>
            <w:vAlign w:val="center"/>
          </w:tcPr>
          <w:p>
            <w:r/>
            <w:r>
              <w:rPr>
                <w:rFonts w:ascii="Calibri" w:hAnsi="Calibri"/>
                <w:b/>
                <w:color w:val="FFFFFF"/>
                <w:sz w:val="21"/>
              </w:rPr>
              <w:t>Hallucination risk</w:t>
            </w:r>
          </w:p>
        </w:tc>
      </w:tr>
      <w:tr>
        <w:tc>
          <w:tcPr>
            <w:tcW w:type="dxa" w:w="2436"/>
            <w:vAlign w:val="center"/>
          </w:tcPr>
          <w:p>
            <w:r/>
            <w:r>
              <w:rPr>
                <w:rFonts w:ascii="Calibri" w:hAnsi="Calibri"/>
                <w:sz w:val="20"/>
              </w:rPr>
              <w:t>tool_persona_summary</w:t>
            </w:r>
          </w:p>
        </w:tc>
        <w:tc>
          <w:tcPr>
            <w:tcW w:type="dxa" w:w="2436"/>
            <w:vAlign w:val="center"/>
          </w:tcPr>
          <w:p>
            <w:r/>
            <w:r>
              <w:rPr>
                <w:rFonts w:ascii="Calibri" w:hAnsi="Calibri"/>
                <w:sz w:val="20"/>
              </w:rPr>
              <w:t>persona name</w:t>
            </w:r>
          </w:p>
        </w:tc>
        <w:tc>
          <w:tcPr>
            <w:tcW w:type="dxa" w:w="2436"/>
            <w:vAlign w:val="center"/>
          </w:tcPr>
          <w:p>
            <w:r/>
            <w:r>
              <w:rPr>
                <w:rFonts w:ascii="Calibri" w:hAnsi="Calibri"/>
                <w:sz w:val="20"/>
              </w:rPr>
              <w:t>count · revenue · share · avg M/F/R</w:t>
            </w:r>
          </w:p>
        </w:tc>
        <w:tc>
          <w:tcPr>
            <w:tcW w:type="dxa" w:w="2436"/>
            <w:vAlign w:val="center"/>
          </w:tcPr>
          <w:p>
            <w:r/>
            <w:r>
              <w:rPr>
                <w:rFonts w:ascii="Calibri" w:hAnsi="Calibri"/>
                <w:sz w:val="20"/>
              </w:rPr>
              <w:t>None (computed)</w:t>
            </w:r>
          </w:p>
        </w:tc>
      </w:tr>
      <w:tr>
        <w:tc>
          <w:tcPr>
            <w:tcW w:type="dxa" w:w="2436"/>
            <w:shd w:val="clear" w:color="auto" w:fill="F2F5F9"/>
            <w:vAlign w:val="center"/>
          </w:tcPr>
          <w:p>
            <w:r/>
            <w:r>
              <w:rPr>
                <w:rFonts w:ascii="Calibri" w:hAnsi="Calibri"/>
                <w:sz w:val="20"/>
              </w:rPr>
              <w:t>tool_churn_alert</w:t>
            </w:r>
          </w:p>
        </w:tc>
        <w:tc>
          <w:tcPr>
            <w:tcW w:type="dxa" w:w="2436"/>
            <w:shd w:val="clear" w:color="auto" w:fill="F2F5F9"/>
            <w:vAlign w:val="center"/>
          </w:tcPr>
          <w:p>
            <w:r/>
            <w:r>
              <w:rPr>
                <w:rFonts w:ascii="Calibri" w:hAnsi="Calibri"/>
                <w:sz w:val="20"/>
              </w:rPr>
              <w:t>persona, recency threshold</w:t>
            </w:r>
          </w:p>
        </w:tc>
        <w:tc>
          <w:tcPr>
            <w:tcW w:type="dxa" w:w="2436"/>
            <w:shd w:val="clear" w:color="auto" w:fill="F2F5F9"/>
            <w:vAlign w:val="center"/>
          </w:tcPr>
          <w:p>
            <w:r/>
            <w:r>
              <w:rPr>
                <w:rFonts w:ascii="Calibri" w:hAnsi="Calibri"/>
                <w:sz w:val="20"/>
              </w:rPr>
              <w:t>at-risk count · top-5 to recover</w:t>
            </w:r>
          </w:p>
        </w:tc>
        <w:tc>
          <w:tcPr>
            <w:tcW w:type="dxa" w:w="2436"/>
            <w:shd w:val="clear" w:color="auto" w:fill="F2F5F9"/>
            <w:vAlign w:val="center"/>
          </w:tcPr>
          <w:p>
            <w:r/>
            <w:r>
              <w:rPr>
                <w:rFonts w:ascii="Calibri" w:hAnsi="Calibri"/>
                <w:sz w:val="20"/>
              </w:rPr>
              <w:t>None (computed)</w:t>
            </w:r>
          </w:p>
        </w:tc>
      </w:tr>
      <w:tr>
        <w:tc>
          <w:tcPr>
            <w:tcW w:type="dxa" w:w="2436"/>
            <w:vAlign w:val="center"/>
          </w:tcPr>
          <w:p>
            <w:r/>
            <w:r>
              <w:rPr>
                <w:rFonts w:ascii="Calibri" w:hAnsi="Calibri"/>
                <w:sz w:val="20"/>
              </w:rPr>
              <w:t>tool_revenue_opportunity</w:t>
            </w:r>
          </w:p>
        </w:tc>
        <w:tc>
          <w:tcPr>
            <w:tcW w:type="dxa" w:w="2436"/>
            <w:vAlign w:val="center"/>
          </w:tcPr>
          <w:p>
            <w:r/>
            <w:r>
              <w:rPr>
                <w:rFonts w:ascii="Calibri" w:hAnsi="Calibri"/>
                <w:sz w:val="20"/>
              </w:rPr>
              <w:t>source persona, target persona</w:t>
            </w:r>
          </w:p>
        </w:tc>
        <w:tc>
          <w:tcPr>
            <w:tcW w:type="dxa" w:w="2436"/>
            <w:vAlign w:val="center"/>
          </w:tcPr>
          <w:p>
            <w:r/>
            <w:r>
              <w:rPr>
                <w:rFonts w:ascii="Calibri" w:hAnsi="Calibri"/>
                <w:sz w:val="20"/>
              </w:rPr>
              <w:t>per-customer lift · realistic 10% upside</w:t>
            </w:r>
          </w:p>
        </w:tc>
        <w:tc>
          <w:tcPr>
            <w:tcW w:type="dxa" w:w="2436"/>
            <w:vAlign w:val="center"/>
          </w:tcPr>
          <w:p>
            <w:r/>
            <w:r>
              <w:rPr>
                <w:rFonts w:ascii="Calibri" w:hAnsi="Calibri"/>
                <w:sz w:val="20"/>
              </w:rPr>
              <w:t>None (computed)</w:t>
            </w:r>
          </w:p>
        </w:tc>
      </w:tr>
      <w:tr>
        <w:tc>
          <w:tcPr>
            <w:tcW w:type="dxa" w:w="2436"/>
            <w:shd w:val="clear" w:color="auto" w:fill="F2F5F9"/>
            <w:vAlign w:val="center"/>
          </w:tcPr>
          <w:p>
            <w:r/>
            <w:r>
              <w:rPr>
                <w:rFonts w:ascii="Calibri" w:hAnsi="Calibri"/>
                <w:sz w:val="20"/>
              </w:rPr>
              <w:t>tool_campaign_recommendation</w:t>
            </w:r>
          </w:p>
        </w:tc>
        <w:tc>
          <w:tcPr>
            <w:tcW w:type="dxa" w:w="2436"/>
            <w:shd w:val="clear" w:color="auto" w:fill="F2F5F9"/>
            <w:vAlign w:val="center"/>
          </w:tcPr>
          <w:p>
            <w:r/>
            <w:r>
              <w:rPr>
                <w:rFonts w:ascii="Calibri" w:hAnsi="Calibri"/>
                <w:sz w:val="20"/>
              </w:rPr>
              <w:t>persona name</w:t>
            </w:r>
          </w:p>
        </w:tc>
        <w:tc>
          <w:tcPr>
            <w:tcW w:type="dxa" w:w="2436"/>
            <w:shd w:val="clear" w:color="auto" w:fill="F2F5F9"/>
            <w:vAlign w:val="center"/>
          </w:tcPr>
          <w:p>
            <w:r/>
            <w:r>
              <w:rPr>
                <w:rFonts w:ascii="Calibri" w:hAnsi="Calibri"/>
                <w:sz w:val="20"/>
              </w:rPr>
              <w:t>named campaign · channel · KPIs · actions</w:t>
            </w:r>
          </w:p>
        </w:tc>
        <w:tc>
          <w:tcPr>
            <w:tcW w:type="dxa" w:w="2436"/>
            <w:shd w:val="clear" w:color="auto" w:fill="F2F5F9"/>
            <w:vAlign w:val="center"/>
          </w:tcPr>
          <w:p>
            <w:r/>
            <w:r>
              <w:rPr>
                <w:rFonts w:ascii="Calibri" w:hAnsi="Calibri"/>
                <w:sz w:val="20"/>
              </w:rPr>
              <w:t>None (rule lookup)</w:t>
            </w:r>
          </w:p>
        </w:tc>
      </w:tr>
    </w:tbl>
    <w:p>
      <w:r>
        <w:rPr>
          <w:rFonts w:ascii="Calibri" w:hAnsi="Calibri"/>
          <w:b/>
          <w:i w:val="0"/>
          <w:color w:val="0B2A4A"/>
          <w:sz w:val="22"/>
        </w:rPr>
        <w:t>3.3 LLM Rendering Layer</w:t>
      </w:r>
    </w:p>
    <w:p>
      <w:r>
        <w:rPr>
          <w:rFonts w:ascii="Calibri" w:hAnsi="Calibri"/>
          <w:b w:val="0"/>
          <w:i w:val="0"/>
          <w:sz w:val="22"/>
        </w:rPr>
        <w:t>Takes structured tool outputs and renders them as executive narrative. The LLM is constrained to the prompt template (see Section 4) and cannot introduce numerical claims absent from the input dict.</w:t>
      </w:r>
    </w:p>
    <w:p>
      <w:r>
        <w:rPr>
          <w:rFonts w:ascii="Calibri" w:hAnsi="Calibri"/>
          <w:b/>
          <w:i w:val="0"/>
          <w:color w:val="0B2A4A"/>
          <w:sz w:val="22"/>
        </w:rPr>
        <w:t>3.4 Output Layer</w:t>
      </w:r>
    </w:p>
    <w:p>
      <w:pPr>
        <w:pStyle w:val="ListBullet"/>
      </w:pPr>
      <w:r>
        <w:rPr>
          <w:rFonts w:ascii="Calibri" w:hAnsi="Calibri"/>
          <w:sz w:val="22"/>
        </w:rPr>
        <w:t>Human-readable executive briefs (Markdown, 6-bullet structure)</w:t>
      </w:r>
    </w:p>
    <w:p>
      <w:pPr>
        <w:pStyle w:val="ListBullet"/>
      </w:pPr>
      <w:r>
        <w:rPr>
          <w:rFonts w:ascii="Calibri" w:hAnsi="Calibri"/>
          <w:sz w:val="22"/>
        </w:rPr>
        <w:t>Consolidated churn-alert table (cross-persona)</w:t>
      </w:r>
    </w:p>
    <w:p>
      <w:pPr>
        <w:pStyle w:val="ListBullet"/>
      </w:pPr>
      <w:r>
        <w:rPr>
          <w:rFonts w:ascii="Calibri" w:hAnsi="Calibri"/>
          <w:sz w:val="22"/>
        </w:rPr>
        <w:t>Revenue-opportunity map (migration economics)</w:t>
      </w:r>
    </w:p>
    <w:p>
      <w:pPr>
        <w:pStyle w:val="ListBullet"/>
      </w:pPr>
      <w:r>
        <w:rPr>
          <w:rFonts w:ascii="Calibri" w:hAnsi="Calibri"/>
          <w:sz w:val="22"/>
        </w:rPr>
        <w:t>Machine-readable campaign briefs (JSON for CRM platforms)</w:t>
      </w:r>
    </w:p>
    <w:p>
      <w:pPr>
        <w:pStyle w:val="Heading1"/>
      </w:pPr>
      <w:r>
        <w:rPr>
          <w:rFonts w:ascii="Calibri" w:hAnsi="Calibri"/>
          <w:color w:val="0B2A4A"/>
        </w:rPr>
        <w:t>4. LLM Prompt Template</w:t>
      </w:r>
    </w:p>
    <w:p>
      <w:r>
        <w:rPr>
          <w:rFonts w:ascii="Calibri" w:hAnsi="Calibri"/>
          <w:b w:val="0"/>
          <w:i/>
          <w:color w:val="555B66"/>
          <w:sz w:val="22"/>
        </w:rPr>
        <w:t>Used by the rendering layer. Replace the prototype's deterministic renderer with a single LLM call using this prompt to go live:</w:t>
      </w:r>
    </w:p>
    <w:p>
      <w:r>
        <w:rPr>
          <w:rFonts w:ascii="Calibri" w:hAnsi="Calibri"/>
          <w:b w:val="0"/>
          <w:i/>
          <w:color w:val="0B2A4A"/>
          <w:sz w:val="20"/>
        </w:rPr>
        <w:t>You are a senior CRM strategist. Write a 6-bullet executive brief for the "{persona}" segment using ONLY the data provided. Tone: CMO-ready, no jargon, every claim tied to a number. Structure: who they are, why they matter, top risk, top opportunity, recommended campaign, named KPI to measure success.</w:t>
        <w:br/>
        <w:br/>
        <w:t>DATA (do not invent any number not present here):</w:t>
        <w:br/>
        <w:t xml:space="preserve">  summary:        {summary_json}</w:t>
        <w:br/>
        <w:t xml:space="preserve">  churn_alert:    {alert_json}</w:t>
        <w:br/>
        <w:t xml:space="preserve">  opportunity:    {opportunity_json}</w:t>
        <w:br/>
        <w:t xml:space="preserve">  recommendation: {recommendation_json}</w:t>
      </w:r>
    </w:p>
    <w:p>
      <w:pPr>
        <w:pStyle w:val="Heading1"/>
      </w:pPr>
      <w:r>
        <w:rPr>
          <w:rFonts w:ascii="Calibri" w:hAnsi="Calibri"/>
          <w:color w:val="0B2A4A"/>
        </w:rPr>
        <w:t>5. Guardrails &amp; Failure Modes</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0B2A4A"/>
            <w:vAlign w:val="center"/>
          </w:tcPr>
          <w:p>
            <w:r/>
            <w:r>
              <w:rPr>
                <w:rFonts w:ascii="Calibri" w:hAnsi="Calibri"/>
                <w:b/>
                <w:color w:val="FFFFFF"/>
                <w:sz w:val="21"/>
              </w:rPr>
              <w:t>Failure mode</w:t>
            </w:r>
          </w:p>
        </w:tc>
        <w:tc>
          <w:tcPr>
            <w:tcW w:type="dxa" w:w="4873"/>
            <w:shd w:val="clear" w:color="auto" w:fill="0B2A4A"/>
            <w:vAlign w:val="center"/>
          </w:tcPr>
          <w:p>
            <w:r/>
            <w:r>
              <w:rPr>
                <w:rFonts w:ascii="Calibri" w:hAnsi="Calibri"/>
                <w:b/>
                <w:color w:val="FFFFFF"/>
                <w:sz w:val="21"/>
              </w:rPr>
              <w:t>Mitigation</w:t>
            </w:r>
          </w:p>
        </w:tc>
      </w:tr>
      <w:tr>
        <w:tc>
          <w:tcPr>
            <w:tcW w:type="dxa" w:w="4873"/>
            <w:vAlign w:val="center"/>
          </w:tcPr>
          <w:p>
            <w:r/>
            <w:r>
              <w:rPr>
                <w:rFonts w:ascii="Calibri" w:hAnsi="Calibri"/>
                <w:sz w:val="20"/>
              </w:rPr>
              <w:t>LLM fabricates a number</w:t>
            </w:r>
          </w:p>
        </w:tc>
        <w:tc>
          <w:tcPr>
            <w:tcW w:type="dxa" w:w="4873"/>
            <w:vAlign w:val="center"/>
          </w:tcPr>
          <w:p>
            <w:r/>
            <w:r>
              <w:rPr>
                <w:rFonts w:ascii="Calibri" w:hAnsi="Calibri"/>
                <w:sz w:val="20"/>
              </w:rPr>
              <w:t>Output validator rejects any £-figure not present in tool inputs</w:t>
            </w:r>
          </w:p>
        </w:tc>
      </w:tr>
      <w:tr>
        <w:tc>
          <w:tcPr>
            <w:tcW w:type="dxa" w:w="4873"/>
            <w:shd w:val="clear" w:color="auto" w:fill="F2F5F9"/>
            <w:vAlign w:val="center"/>
          </w:tcPr>
          <w:p>
            <w:r/>
            <w:r>
              <w:rPr>
                <w:rFonts w:ascii="Calibri" w:hAnsi="Calibri"/>
                <w:sz w:val="20"/>
              </w:rPr>
              <w:t>LLM contradicts the data</w:t>
            </w:r>
          </w:p>
        </w:tc>
        <w:tc>
          <w:tcPr>
            <w:tcW w:type="dxa" w:w="4873"/>
            <w:shd w:val="clear" w:color="auto" w:fill="F2F5F9"/>
            <w:vAlign w:val="center"/>
          </w:tcPr>
          <w:p>
            <w:r/>
            <w:r>
              <w:rPr>
                <w:rFonts w:ascii="Calibri" w:hAnsi="Calibri"/>
                <w:sz w:val="20"/>
              </w:rPr>
              <w:t>Golden-set regression test against deterministic baseline (weekly)</w:t>
            </w:r>
          </w:p>
        </w:tc>
      </w:tr>
      <w:tr>
        <w:tc>
          <w:tcPr>
            <w:tcW w:type="dxa" w:w="4873"/>
            <w:vAlign w:val="center"/>
          </w:tcPr>
          <w:p>
            <w:r/>
            <w:r>
              <w:rPr>
                <w:rFonts w:ascii="Calibri" w:hAnsi="Calibri"/>
                <w:sz w:val="20"/>
              </w:rPr>
              <w:t>LLM drifts in tone</w:t>
            </w:r>
          </w:p>
        </w:tc>
        <w:tc>
          <w:tcPr>
            <w:tcW w:type="dxa" w:w="4873"/>
            <w:vAlign w:val="center"/>
          </w:tcPr>
          <w:p>
            <w:r/>
            <w:r>
              <w:rPr>
                <w:rFonts w:ascii="Calibri" w:hAnsi="Calibri"/>
                <w:sz w:val="20"/>
              </w:rPr>
              <w:t>Pinned model version + system prompt with examples</w:t>
            </w:r>
          </w:p>
        </w:tc>
      </w:tr>
      <w:tr>
        <w:tc>
          <w:tcPr>
            <w:tcW w:type="dxa" w:w="4873"/>
            <w:shd w:val="clear" w:color="auto" w:fill="F2F5F9"/>
            <w:vAlign w:val="center"/>
          </w:tcPr>
          <w:p>
            <w:r/>
            <w:r>
              <w:rPr>
                <w:rFonts w:ascii="Calibri" w:hAnsi="Calibri"/>
                <w:sz w:val="20"/>
              </w:rPr>
              <w:t>Stale data</w:t>
            </w:r>
          </w:p>
        </w:tc>
        <w:tc>
          <w:tcPr>
            <w:tcW w:type="dxa" w:w="4873"/>
            <w:shd w:val="clear" w:color="auto" w:fill="F2F5F9"/>
            <w:vAlign w:val="center"/>
          </w:tcPr>
          <w:p>
            <w:r/>
            <w:r>
              <w:rPr>
                <w:rFonts w:ascii="Calibri" w:hAnsi="Calibri"/>
                <w:sz w:val="20"/>
              </w:rPr>
              <w:t>Cache TTL = 24h; manual refresh trigger when underlying CSVs change</w:t>
            </w:r>
          </w:p>
        </w:tc>
      </w:tr>
      <w:tr>
        <w:tc>
          <w:tcPr>
            <w:tcW w:type="dxa" w:w="4873"/>
            <w:vAlign w:val="center"/>
          </w:tcPr>
          <w:p>
            <w:r/>
            <w:r>
              <w:rPr>
                <w:rFonts w:ascii="Calibri" w:hAnsi="Calibri"/>
                <w:sz w:val="20"/>
              </w:rPr>
              <w:t>Cost overrun</w:t>
            </w:r>
          </w:p>
        </w:tc>
        <w:tc>
          <w:tcPr>
            <w:tcW w:type="dxa" w:w="4873"/>
            <w:vAlign w:val="center"/>
          </w:tcPr>
          <w:p>
            <w:r/>
            <w:r>
              <w:rPr>
                <w:rFonts w:ascii="Calibri" w:hAnsi="Calibri"/>
                <w:sz w:val="20"/>
              </w:rPr>
              <w:t>Per-persona caching; only the changed persona regenerates</w:t>
            </w:r>
          </w:p>
        </w:tc>
      </w:tr>
      <w:tr>
        <w:tc>
          <w:tcPr>
            <w:tcW w:type="dxa" w:w="4873"/>
            <w:shd w:val="clear" w:color="auto" w:fill="F2F5F9"/>
            <w:vAlign w:val="center"/>
          </w:tcPr>
          <w:p>
            <w:r/>
            <w:r>
              <w:rPr>
                <w:rFonts w:ascii="Calibri" w:hAnsi="Calibri"/>
                <w:sz w:val="20"/>
              </w:rPr>
              <w:t>Output format breaks</w:t>
            </w:r>
          </w:p>
        </w:tc>
        <w:tc>
          <w:tcPr>
            <w:tcW w:type="dxa" w:w="4873"/>
            <w:shd w:val="clear" w:color="auto" w:fill="F2F5F9"/>
            <w:vAlign w:val="center"/>
          </w:tcPr>
          <w:p>
            <w:r/>
            <w:r>
              <w:rPr>
                <w:rFonts w:ascii="Calibri" w:hAnsi="Calibri"/>
                <w:sz w:val="20"/>
              </w:rPr>
              <w:t>Schema validation on structured output; fail-closed to deterministic renderer</w:t>
            </w:r>
          </w:p>
        </w:tc>
      </w:tr>
    </w:tbl>
    <w:p>
      <w:pPr>
        <w:pStyle w:val="Heading1"/>
      </w:pPr>
      <w:r>
        <w:rPr>
          <w:rFonts w:ascii="Calibri" w:hAnsi="Calibri"/>
          <w:color w:val="0B2A4A"/>
        </w:rPr>
        <w:t>6. Inputs &amp; Outputs (Contract)</w:t>
      </w:r>
    </w:p>
    <w:p>
      <w:r>
        <w:rPr>
          <w:rFonts w:ascii="Calibri" w:hAnsi="Calibri"/>
          <w:b/>
          <w:i w:val="0"/>
          <w:color w:val="0B2A4A"/>
          <w:sz w:val="22"/>
        </w:rPr>
        <w:t>Input contract:</w:t>
      </w:r>
    </w:p>
    <w:p>
      <w:pPr>
        <w:pStyle w:val="ListBullet"/>
      </w:pPr>
      <w:r>
        <w:rPr>
          <w:rFonts w:ascii="Calibri" w:hAnsi="Calibri"/>
          <w:sz w:val="22"/>
        </w:rPr>
        <w:t>Phase 6 CSV: 4,338 rows · columns: CustomerID, Recency, Frequency, Monetary, persona, country, ...</w:t>
      </w:r>
    </w:p>
    <w:p>
      <w:pPr>
        <w:pStyle w:val="ListBullet"/>
      </w:pPr>
      <w:r>
        <w:rPr>
          <w:rFonts w:ascii="Calibri" w:hAnsi="Calibri"/>
          <w:sz w:val="22"/>
        </w:rPr>
        <w:t>Persona name (one of 5)</w:t>
      </w:r>
    </w:p>
    <w:p>
      <w:pPr>
        <w:pStyle w:val="ListBullet"/>
      </w:pPr>
      <w:r>
        <w:rPr>
          <w:rFonts w:ascii="Calibri" w:hAnsi="Calibri"/>
          <w:sz w:val="22"/>
        </w:rPr>
        <w:t>Optional: recency_threshold (int days), target_persona (for migration calculations)</w:t>
      </w:r>
    </w:p>
    <w:p>
      <w:r>
        <w:rPr>
          <w:rFonts w:ascii="Calibri" w:hAnsi="Calibri"/>
          <w:b/>
          <w:i w:val="0"/>
          <w:color w:val="0B2A4A"/>
          <w:sz w:val="22"/>
        </w:rPr>
        <w:t>Output contract:</w:t>
      </w:r>
    </w:p>
    <w:p>
      <w:pPr>
        <w:pStyle w:val="ListBullet"/>
      </w:pPr>
      <w:r>
        <w:rPr>
          <w:rFonts w:ascii="Calibri" w:hAnsi="Calibri"/>
          <w:sz w:val="22"/>
        </w:rPr>
        <w:t>executive_brief: Markdown string (6-bullet structure)</w:t>
      </w:r>
    </w:p>
    <w:p>
      <w:pPr>
        <w:pStyle w:val="ListBullet"/>
      </w:pPr>
      <w:r>
        <w:rPr>
          <w:rFonts w:ascii="Calibri" w:hAnsi="Calibri"/>
          <w:sz w:val="22"/>
        </w:rPr>
        <w:t>churn_alert: dict {persona, threshold, at_risk_count, at_risk_revenue, top_5}</w:t>
      </w:r>
    </w:p>
    <w:p>
      <w:pPr>
        <w:pStyle w:val="ListBullet"/>
      </w:pPr>
      <w:r>
        <w:rPr>
          <w:rFonts w:ascii="Calibri" w:hAnsi="Calibri"/>
          <w:sz w:val="22"/>
        </w:rPr>
        <w:t>opportunity: dict {source, target, customers, lift, 10pct_upside}</w:t>
      </w:r>
    </w:p>
    <w:p>
      <w:pPr>
        <w:pStyle w:val="ListBullet"/>
      </w:pPr>
      <w:r>
        <w:rPr>
          <w:rFonts w:ascii="Calibri" w:hAnsi="Calibri"/>
          <w:sz w:val="22"/>
        </w:rPr>
        <w:t>campaign_brief: dict {campaign, priority, channel, budget_tier, kpis[], actions[]}</w:t>
      </w:r>
    </w:p>
    <w:p>
      <w:pPr>
        <w:pStyle w:val="Heading1"/>
      </w:pPr>
      <w:r>
        <w:rPr>
          <w:rFonts w:ascii="Calibri" w:hAnsi="Calibri"/>
          <w:color w:val="0B2A4A"/>
        </w:rPr>
        <w:t>7. Evaluation Plan</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0B2A4A"/>
            <w:vAlign w:val="center"/>
          </w:tcPr>
          <w:p>
            <w:r/>
            <w:r>
              <w:rPr>
                <w:rFonts w:ascii="Calibri" w:hAnsi="Calibri"/>
                <w:b/>
                <w:color w:val="FFFFFF"/>
                <w:sz w:val="21"/>
              </w:rPr>
              <w:t>Test</w:t>
            </w:r>
          </w:p>
        </w:tc>
        <w:tc>
          <w:tcPr>
            <w:tcW w:type="dxa" w:w="3249"/>
            <w:shd w:val="clear" w:color="auto" w:fill="0B2A4A"/>
            <w:vAlign w:val="center"/>
          </w:tcPr>
          <w:p>
            <w:r/>
            <w:r>
              <w:rPr>
                <w:rFonts w:ascii="Calibri" w:hAnsi="Calibri"/>
                <w:b/>
                <w:color w:val="FFFFFF"/>
                <w:sz w:val="21"/>
              </w:rPr>
              <w:t>Frequency</w:t>
            </w:r>
          </w:p>
        </w:tc>
        <w:tc>
          <w:tcPr>
            <w:tcW w:type="dxa" w:w="3249"/>
            <w:shd w:val="clear" w:color="auto" w:fill="0B2A4A"/>
            <w:vAlign w:val="center"/>
          </w:tcPr>
          <w:p>
            <w:r/>
            <w:r>
              <w:rPr>
                <w:rFonts w:ascii="Calibri" w:hAnsi="Calibri"/>
                <w:b/>
                <w:color w:val="FFFFFF"/>
                <w:sz w:val="21"/>
              </w:rPr>
              <w:t>Pass criteria</w:t>
            </w:r>
          </w:p>
        </w:tc>
      </w:tr>
      <w:tr>
        <w:tc>
          <w:tcPr>
            <w:tcW w:type="dxa" w:w="3249"/>
            <w:vAlign w:val="center"/>
          </w:tcPr>
          <w:p>
            <w:r/>
            <w:r>
              <w:rPr>
                <w:rFonts w:ascii="Calibri" w:hAnsi="Calibri"/>
                <w:sz w:val="20"/>
              </w:rPr>
              <w:t>Numerical fidelity</w:t>
            </w:r>
          </w:p>
        </w:tc>
        <w:tc>
          <w:tcPr>
            <w:tcW w:type="dxa" w:w="3249"/>
            <w:vAlign w:val="center"/>
          </w:tcPr>
          <w:p>
            <w:r/>
            <w:r>
              <w:rPr>
                <w:rFonts w:ascii="Calibri" w:hAnsi="Calibri"/>
                <w:sz w:val="20"/>
              </w:rPr>
              <w:t>Every run</w:t>
            </w:r>
          </w:p>
        </w:tc>
        <w:tc>
          <w:tcPr>
            <w:tcW w:type="dxa" w:w="3249"/>
            <w:vAlign w:val="center"/>
          </w:tcPr>
          <w:p>
            <w:r/>
            <w:r>
              <w:rPr>
                <w:rFonts w:ascii="Calibri" w:hAnsi="Calibri"/>
                <w:sz w:val="20"/>
              </w:rPr>
              <w:t>100% of £-figures trace to tool inputs</w:t>
            </w:r>
          </w:p>
        </w:tc>
      </w:tr>
      <w:tr>
        <w:tc>
          <w:tcPr>
            <w:tcW w:type="dxa" w:w="3249"/>
            <w:shd w:val="clear" w:color="auto" w:fill="F2F5F9"/>
            <w:vAlign w:val="center"/>
          </w:tcPr>
          <w:p>
            <w:r/>
            <w:r>
              <w:rPr>
                <w:rFonts w:ascii="Calibri" w:hAnsi="Calibri"/>
                <w:sz w:val="20"/>
              </w:rPr>
              <w:t>Schema validation</w:t>
            </w:r>
          </w:p>
        </w:tc>
        <w:tc>
          <w:tcPr>
            <w:tcW w:type="dxa" w:w="3249"/>
            <w:shd w:val="clear" w:color="auto" w:fill="F2F5F9"/>
            <w:vAlign w:val="center"/>
          </w:tcPr>
          <w:p>
            <w:r/>
            <w:r>
              <w:rPr>
                <w:rFonts w:ascii="Calibri" w:hAnsi="Calibri"/>
                <w:sz w:val="20"/>
              </w:rPr>
              <w:t>Every run</w:t>
            </w:r>
          </w:p>
        </w:tc>
        <w:tc>
          <w:tcPr>
            <w:tcW w:type="dxa" w:w="3249"/>
            <w:shd w:val="clear" w:color="auto" w:fill="F2F5F9"/>
            <w:vAlign w:val="center"/>
          </w:tcPr>
          <w:p>
            <w:r/>
            <w:r>
              <w:rPr>
                <w:rFonts w:ascii="Calibri" w:hAnsi="Calibri"/>
                <w:sz w:val="20"/>
              </w:rPr>
              <w:t>All required fields present in structured output</w:t>
            </w:r>
          </w:p>
        </w:tc>
      </w:tr>
      <w:tr>
        <w:tc>
          <w:tcPr>
            <w:tcW w:type="dxa" w:w="3249"/>
            <w:vAlign w:val="center"/>
          </w:tcPr>
          <w:p>
            <w:r/>
            <w:r>
              <w:rPr>
                <w:rFonts w:ascii="Calibri" w:hAnsi="Calibri"/>
                <w:sz w:val="20"/>
              </w:rPr>
              <w:t>Golden-set comparison</w:t>
            </w:r>
          </w:p>
        </w:tc>
        <w:tc>
          <w:tcPr>
            <w:tcW w:type="dxa" w:w="3249"/>
            <w:vAlign w:val="center"/>
          </w:tcPr>
          <w:p>
            <w:r/>
            <w:r>
              <w:rPr>
                <w:rFonts w:ascii="Calibri" w:hAnsi="Calibri"/>
                <w:sz w:val="20"/>
              </w:rPr>
              <w:t>Weekly</w:t>
            </w:r>
          </w:p>
        </w:tc>
        <w:tc>
          <w:tcPr>
            <w:tcW w:type="dxa" w:w="3249"/>
            <w:vAlign w:val="center"/>
          </w:tcPr>
          <w:p>
            <w:r/>
            <w:r>
              <w:rPr>
                <w:rFonts w:ascii="Calibri" w:hAnsi="Calibri"/>
                <w:sz w:val="20"/>
              </w:rPr>
              <w:t>LLM output matches deterministic renderer on key claims</w:t>
            </w:r>
          </w:p>
        </w:tc>
      </w:tr>
      <w:tr>
        <w:tc>
          <w:tcPr>
            <w:tcW w:type="dxa" w:w="3249"/>
            <w:shd w:val="clear" w:color="auto" w:fill="F2F5F9"/>
            <w:vAlign w:val="center"/>
          </w:tcPr>
          <w:p>
            <w:r/>
            <w:r>
              <w:rPr>
                <w:rFonts w:ascii="Calibri" w:hAnsi="Calibri"/>
                <w:sz w:val="20"/>
              </w:rPr>
              <w:t>Stakeholder review</w:t>
            </w:r>
          </w:p>
        </w:tc>
        <w:tc>
          <w:tcPr>
            <w:tcW w:type="dxa" w:w="3249"/>
            <w:shd w:val="clear" w:color="auto" w:fill="F2F5F9"/>
            <w:vAlign w:val="center"/>
          </w:tcPr>
          <w:p>
            <w:r/>
            <w:r>
              <w:rPr>
                <w:rFonts w:ascii="Calibri" w:hAnsi="Calibri"/>
                <w:sz w:val="20"/>
              </w:rPr>
              <w:t>Quarterly</w:t>
            </w:r>
          </w:p>
        </w:tc>
        <w:tc>
          <w:tcPr>
            <w:tcW w:type="dxa" w:w="3249"/>
            <w:shd w:val="clear" w:color="auto" w:fill="F2F5F9"/>
            <w:vAlign w:val="center"/>
          </w:tcPr>
          <w:p>
            <w:r/>
            <w:r>
              <w:rPr>
                <w:rFonts w:ascii="Calibri" w:hAnsi="Calibri"/>
                <w:sz w:val="20"/>
              </w:rPr>
              <w:t>CMO / CRM Manager sign-off on brief quality</w:t>
            </w:r>
          </w:p>
        </w:tc>
      </w:tr>
      <w:tr>
        <w:tc>
          <w:tcPr>
            <w:tcW w:type="dxa" w:w="3249"/>
            <w:vAlign w:val="center"/>
          </w:tcPr>
          <w:p>
            <w:r/>
            <w:r>
              <w:rPr>
                <w:rFonts w:ascii="Calibri" w:hAnsi="Calibri"/>
                <w:sz w:val="20"/>
              </w:rPr>
              <w:t>Latency SLO</w:t>
            </w:r>
          </w:p>
        </w:tc>
        <w:tc>
          <w:tcPr>
            <w:tcW w:type="dxa" w:w="3249"/>
            <w:vAlign w:val="center"/>
          </w:tcPr>
          <w:p>
            <w:r/>
            <w:r>
              <w:rPr>
                <w:rFonts w:ascii="Calibri" w:hAnsi="Calibri"/>
                <w:sz w:val="20"/>
              </w:rPr>
              <w:t>Every run</w:t>
            </w:r>
          </w:p>
        </w:tc>
        <w:tc>
          <w:tcPr>
            <w:tcW w:type="dxa" w:w="3249"/>
            <w:vAlign w:val="center"/>
          </w:tcPr>
          <w:p>
            <w:r/>
            <w:r>
              <w:rPr>
                <w:rFonts w:ascii="Calibri" w:hAnsi="Calibri"/>
                <w:sz w:val="20"/>
              </w:rPr>
              <w:t>p95 &lt; 6s end-to-end</w:t>
            </w:r>
          </w:p>
        </w:tc>
      </w:tr>
      <w:tr>
        <w:tc>
          <w:tcPr>
            <w:tcW w:type="dxa" w:w="3249"/>
            <w:shd w:val="clear" w:color="auto" w:fill="F2F5F9"/>
            <w:vAlign w:val="center"/>
          </w:tcPr>
          <w:p>
            <w:r/>
            <w:r>
              <w:rPr>
                <w:rFonts w:ascii="Calibri" w:hAnsi="Calibri"/>
                <w:sz w:val="20"/>
              </w:rPr>
              <w:t>Cost SLO</w:t>
            </w:r>
          </w:p>
        </w:tc>
        <w:tc>
          <w:tcPr>
            <w:tcW w:type="dxa" w:w="3249"/>
            <w:shd w:val="clear" w:color="auto" w:fill="F2F5F9"/>
            <w:vAlign w:val="center"/>
          </w:tcPr>
          <w:p>
            <w:r/>
            <w:r>
              <w:rPr>
                <w:rFonts w:ascii="Calibri" w:hAnsi="Calibri"/>
                <w:sz w:val="20"/>
              </w:rPr>
              <w:t>Monthly</w:t>
            </w:r>
          </w:p>
        </w:tc>
        <w:tc>
          <w:tcPr>
            <w:tcW w:type="dxa" w:w="3249"/>
            <w:shd w:val="clear" w:color="auto" w:fill="F2F5F9"/>
            <w:vAlign w:val="center"/>
          </w:tcPr>
          <w:p>
            <w:r/>
            <w:r>
              <w:rPr>
                <w:rFonts w:ascii="Calibri" w:hAnsi="Calibri"/>
                <w:sz w:val="20"/>
              </w:rPr>
              <w:t>&lt; $X per 100 generated briefs (TBD per model)</w:t>
            </w:r>
          </w:p>
        </w:tc>
      </w:tr>
    </w:tbl>
    <w:p>
      <w:pPr>
        <w:pStyle w:val="Heading1"/>
      </w:pPr>
      <w:r>
        <w:rPr>
          <w:rFonts w:ascii="Calibri" w:hAnsi="Calibri"/>
          <w:color w:val="0B2A4A"/>
        </w:rPr>
        <w:t>8. Production Roadmap</w:t>
      </w:r>
    </w:p>
    <w:p>
      <w:r>
        <w:rPr>
          <w:rFonts w:ascii="Calibri" w:hAnsi="Calibri"/>
          <w:b/>
          <w:i w:val="0"/>
          <w:sz w:val="22"/>
        </w:rPr>
        <w:t>V1 (this prototype): Deterministic rendering. Demonstrable today.</w:t>
      </w:r>
    </w:p>
    <w:p>
      <w:r>
        <w:rPr>
          <w:rFonts w:ascii="Calibri" w:hAnsi="Calibri"/>
          <w:b w:val="0"/>
          <w:i w:val="0"/>
          <w:sz w:val="22"/>
        </w:rPr>
        <w:t>V2 (production): Swap renderer with live LLM call (single-function change).</w:t>
      </w:r>
    </w:p>
    <w:p>
      <w:r>
        <w:rPr>
          <w:rFonts w:ascii="Calibri" w:hAnsi="Calibri"/>
          <w:b w:val="0"/>
          <w:i w:val="0"/>
          <w:sz w:val="22"/>
        </w:rPr>
        <w:t>V3 (multi-agent): Add a coordinator agent that picks which persona to brief based on stakeholder query ("why did revenue dip last week?" → routes to At Risk + Cannot Lose Them analyses).</w:t>
      </w:r>
    </w:p>
    <w:p>
      <w:r>
        <w:rPr>
          <w:rFonts w:ascii="Calibri" w:hAnsi="Calibri"/>
          <w:b w:val="0"/>
          <w:i w:val="0"/>
          <w:sz w:val="22"/>
        </w:rPr>
        <w:t>V4 (predictive): Connect a churn-prediction model (BG/NBD, Gamma-Gamma) so alerts surface customers BEFORE they cross dormancy thresholds, not just after.</w:t>
      </w:r>
    </w:p>
    <w:p>
      <w:pPr>
        <w:pStyle w:val="Heading1"/>
      </w:pPr>
      <w:r>
        <w:rPr>
          <w:rFonts w:ascii="Calibri" w:hAnsi="Calibri"/>
          <w:color w:val="0B2A4A"/>
        </w:rPr>
        <w:t>9. Why This Matters — Decision Velocity</w:t>
      </w:r>
    </w:p>
    <w:p>
      <w:r>
        <w:rPr>
          <w:rFonts w:ascii="Calibri" w:hAnsi="Calibri"/>
          <w:b w:val="0"/>
          <w:i w:val="0"/>
          <w:sz w:val="22"/>
        </w:rPr>
        <w:t>Without the agent, a CRM Manager who wants to know "which 50 customers should I recover this week?" has to:</w:t>
      </w:r>
    </w:p>
    <w:p>
      <w:pPr>
        <w:pStyle w:val="ListBullet"/>
      </w:pPr>
      <w:r>
        <w:rPr>
          <w:rFonts w:ascii="Calibri" w:hAnsi="Calibri"/>
          <w:sz w:val="22"/>
        </w:rPr>
        <w:t>Pull the cleaned dataset</w:t>
      </w:r>
    </w:p>
    <w:p>
      <w:pPr>
        <w:pStyle w:val="ListBullet"/>
      </w:pPr>
      <w:r>
        <w:rPr>
          <w:rFonts w:ascii="Calibri" w:hAnsi="Calibri"/>
          <w:sz w:val="22"/>
        </w:rPr>
        <w:t>Filter on persona + recency</w:t>
      </w:r>
    </w:p>
    <w:p>
      <w:pPr>
        <w:pStyle w:val="ListBullet"/>
      </w:pPr>
      <w:r>
        <w:rPr>
          <w:rFonts w:ascii="Calibri" w:hAnsi="Calibri"/>
          <w:sz w:val="22"/>
        </w:rPr>
        <w:t>Sort by monetary value</w:t>
      </w:r>
    </w:p>
    <w:p>
      <w:pPr>
        <w:pStyle w:val="ListBullet"/>
      </w:pPr>
      <w:r>
        <w:rPr>
          <w:rFonts w:ascii="Calibri" w:hAnsi="Calibri"/>
          <w:sz w:val="22"/>
        </w:rPr>
        <w:t>Format into a workable list</w:t>
      </w:r>
    </w:p>
    <w:p>
      <w:pPr>
        <w:pStyle w:val="ListBullet"/>
      </w:pPr>
      <w:r>
        <w:rPr>
          <w:rFonts w:ascii="Calibri" w:hAnsi="Calibri"/>
          <w:sz w:val="22"/>
        </w:rPr>
        <w:t>Write a recommendation memo to the CMO</w:t>
      </w:r>
    </w:p>
    <w:p>
      <w:r>
        <w:rPr>
          <w:rFonts w:ascii="Calibri" w:hAnsi="Calibri"/>
          <w:b/>
          <w:i w:val="0"/>
          <w:color w:val="0B2A4A"/>
          <w:sz w:val="22"/>
        </w:rPr>
        <w:t>With the agent, the same question is answered in one prompt, with a memo-quality response, in seconds. That is the difference between insight that lives in a notebook and decision velocity in the business.</w:t>
      </w:r>
    </w:p>
    <w:p>
      <w:pPr>
        <w:pStyle w:val="Heading1"/>
      </w:pPr>
      <w:r>
        <w:rPr>
          <w:rFonts w:ascii="Calibri" w:hAnsi="Calibri"/>
          <w:color w:val="0B2A4A"/>
        </w:rPr>
        <w:t>10. Why This is the Project's Moat</w:t>
      </w:r>
    </w:p>
    <w:p>
      <w:r>
        <w:rPr>
          <w:rFonts w:ascii="Calibri" w:hAnsi="Calibri"/>
          <w:b w:val="0"/>
          <w:i w:val="0"/>
          <w:sz w:val="22"/>
        </w:rPr>
        <w:t>Avelabs explicitly markets Agentic AI, LLMs, and CRM Intelligence as core service offerings. Almost no junior Data Analyst or Data Scientist applicant will submit a designed, working Agentic AI system alongside their RFM and clustering work.</w:t>
      </w:r>
    </w:p>
    <w:p>
      <w:r>
        <w:rPr>
          <w:rFonts w:ascii="Calibri" w:hAnsi="Calibri"/>
          <w:b/>
          <w:i w:val="0"/>
          <w:sz w:val="22"/>
        </w:rPr>
        <w:t>This phase is the unfair advantage of this portfolio. It demonstrates:</w:t>
      </w:r>
    </w:p>
    <w:p>
      <w:pPr>
        <w:pStyle w:val="ListBullet"/>
      </w:pPr>
      <w:r>
        <w:rPr>
          <w:rFonts w:ascii="Calibri" w:hAnsi="Calibri"/>
          <w:sz w:val="22"/>
        </w:rPr>
        <w:t>Mature system thinking (deterministic tools + LLM rendering separation)</w:t>
      </w:r>
    </w:p>
    <w:p>
      <w:pPr>
        <w:pStyle w:val="ListBullet"/>
      </w:pPr>
      <w:r>
        <w:rPr>
          <w:rFonts w:ascii="Calibri" w:hAnsi="Calibri"/>
          <w:sz w:val="22"/>
        </w:rPr>
        <w:t>Production realism (guardrails, evaluation, cost, latency)</w:t>
      </w:r>
    </w:p>
    <w:p>
      <w:pPr>
        <w:pStyle w:val="ListBullet"/>
      </w:pPr>
      <w:r>
        <w:rPr>
          <w:rFonts w:ascii="Calibri" w:hAnsi="Calibri"/>
          <w:sz w:val="22"/>
        </w:rPr>
        <w:t>Avelabs-shaped fluency (the agent IS the kind of system Avelabs builds for clients)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