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6FB5"/>
          <w:sz w:val="22"/>
        </w:rPr>
        <w:t>PHASE 8 — PORTFOLIO TRANSLATION</w:t>
      </w:r>
    </w:p>
    <w:p>
      <w:r>
        <w:rPr>
          <w:rFonts w:ascii="Calibri" w:hAnsi="Calibri"/>
          <w:b/>
          <w:color w:val="0B2A4A"/>
          <w:sz w:val="56"/>
        </w:rPr>
        <w:t>LinkedIn Content Pack</w:t>
      </w:r>
    </w:p>
    <w:p>
      <w:r>
        <w:rPr>
          <w:rFonts w:ascii="Calibri" w:hAnsi="Calibri"/>
          <w:b w:val="0"/>
          <w:i/>
          <w:color w:val="555B66"/>
          <w:sz w:val="24"/>
        </w:rPr>
        <w:t>5 posts · hook + body + CTA · ready to publish</w:t>
      </w:r>
    </w:p>
    <w:p>
      <w:r>
        <w:rPr>
          <w:rFonts w:ascii="Calibri" w:hAnsi="Calibri"/>
          <w:b w:val="0"/>
          <w:i w:val="0"/>
          <w:color w:val="555B66"/>
          <w:sz w:val="20"/>
        </w:rPr>
        <w:t>Tip: post 1 per week. Tag #CRMAnalytics #DataScience #CustomerAnalytics #AgenticAI.</w:t>
      </w:r>
    </w:p>
    <w:p/>
    <w:p>
      <w:pPr>
        <w:pStyle w:val="Heading2"/>
      </w:pPr>
      <w:r>
        <w:rPr>
          <w:rFonts w:ascii="Calibri" w:hAnsi="Calibri"/>
          <w:color w:val="0B2A4A"/>
        </w:rPr>
        <w:t>POST 1 — The Pareto Hook (revenue concentration)</w:t>
      </w:r>
    </w:p>
    <w:p>
      <w:r>
        <w:rPr>
          <w:rFonts w:ascii="Calibri" w:hAnsi="Calibri"/>
          <w:b/>
          <w:i w:val="0"/>
          <w:color w:val="1F6FB5"/>
          <w:sz w:val="20"/>
        </w:rPr>
        <w:t>HOOK (first 3 lines — the most important part)</w:t>
      </w:r>
    </w:p>
    <w:p>
      <w:pPr>
        <w:shd w:val="clear" w:color="auto" w:fill="F2F5F9"/>
      </w:pPr>
      <w:r>
        <w:rPr>
          <w:rFonts w:ascii="Calibri" w:hAnsi="Calibri"/>
          <w:color w:val="0B2A4A"/>
          <w:sz w:val="22"/>
        </w:rPr>
        <w:t>20% of customers drove 75% of revenue.</w:t>
        <w:br/>
        <w:br/>
        <w:t>The CMO's response: "We need more ads."</w:t>
        <w:br/>
        <w:t>The data's response: "You need a different conversation."</w:t>
      </w:r>
    </w:p>
    <w:p>
      <w:r>
        <w:rPr>
          <w:rFonts w:ascii="Calibri" w:hAnsi="Calibri"/>
          <w:b/>
          <w:i w:val="0"/>
          <w:color w:val="1F6FB5"/>
          <w:sz w:val="20"/>
        </w:rPr>
        <w:t>BODY</w:t>
      </w:r>
    </w:p>
    <w:p>
      <w:pPr>
        <w:shd w:val="clear" w:color="auto" w:fill="F2F5F9"/>
      </w:pPr>
      <w:r>
        <w:rPr>
          <w:rFonts w:ascii="Calibri" w:hAnsi="Calibri"/>
          <w:color w:val="0B2A4A"/>
          <w:sz w:val="22"/>
        </w:rPr>
        <w:t>I ran the Lorenz curve on a 4,338-customer UK retail dataset. The Gini coefficient was 0.72 — income-inequality-grade concentration. The top 1% alone contributed 31.8% of revenue.</w:t>
        <w:br/>
        <w:br/>
        <w:t>Here's what changes when you see that number:</w:t>
        <w:br/>
        <w:t>• The marketing budget question shifts from "acquisition" to "retention."</w:t>
        <w:br/>
        <w:t>• A churn event in the top 1% becomes a multi-£10k revenue line item.</w:t>
        <w:br/>
        <w:t>• A 4-tier VIP program becomes non-optional, not aspirational.</w:t>
        <w:br/>
        <w:br/>
        <w:t>The company didn't have a customer acquisition problem. It had a customer intelligence problem.</w:t>
      </w:r>
    </w:p>
    <w:p>
      <w:r>
        <w:rPr>
          <w:rFonts w:ascii="Calibri" w:hAnsi="Calibri"/>
          <w:b/>
          <w:i w:val="0"/>
          <w:color w:val="1F6FB5"/>
          <w:sz w:val="20"/>
        </w:rPr>
        <w:t>CALL TO ACTION</w:t>
      </w:r>
    </w:p>
    <w:p>
      <w:pPr>
        <w:shd w:val="clear" w:color="auto" w:fill="F2F5F9"/>
      </w:pPr>
      <w:r>
        <w:rPr>
          <w:rFonts w:ascii="Calibri" w:hAnsi="Calibri"/>
          <w:color w:val="0B2A4A"/>
          <w:sz w:val="22"/>
        </w:rPr>
        <w:t>How concentrated is your revenue base? If you've never charted it, you're flying blind. (Comment for the Lorenz-curve notebook.)</w:t>
      </w:r>
    </w:p>
    <w:p>
      <w:r>
        <w:rPr>
          <w:rFonts w:ascii="Calibri" w:hAnsi="Calibri"/>
          <w:b/>
          <w:i w:val="0"/>
          <w:color w:val="1F6FB5"/>
          <w:sz w:val="20"/>
        </w:rPr>
        <w:t>HASHTAGS</w:t>
      </w:r>
    </w:p>
    <w:p>
      <w:r>
        <w:rPr>
          <w:rFonts w:ascii="Calibri" w:hAnsi="Calibri"/>
          <w:b w:val="0"/>
          <w:i/>
          <w:color w:val="555B66"/>
          <w:sz w:val="22"/>
        </w:rPr>
        <w:t>#CRMAnalytics #DataAnalytics #CustomerAnalytics #ParetoPrinciple</w:t>
      </w:r>
    </w:p>
    <w:p/>
    <w:p>
      <w:pPr>
        <w:pStyle w:val="Heading2"/>
      </w:pPr>
      <w:r>
        <w:rPr>
          <w:rFonts w:ascii="Calibri" w:hAnsi="Calibri"/>
          <w:color w:val="0B2A4A"/>
        </w:rPr>
        <w:t>POST 2 — The 11.9× CLV finding</w:t>
      </w:r>
    </w:p>
    <w:p>
      <w:r>
        <w:rPr>
          <w:rFonts w:ascii="Calibri" w:hAnsi="Calibri"/>
          <w:b/>
          <w:i w:val="0"/>
          <w:color w:val="1F6FB5"/>
          <w:sz w:val="20"/>
        </w:rPr>
        <w:t>HOOK (first 3 lines — the most important part)</w:t>
      </w:r>
    </w:p>
    <w:p>
      <w:pPr>
        <w:shd w:val="clear" w:color="auto" w:fill="F2F5F9"/>
      </w:pPr>
      <w:r>
        <w:rPr>
          <w:rFonts w:ascii="Calibri" w:hAnsi="Calibri"/>
          <w:color w:val="0B2A4A"/>
          <w:sz w:val="22"/>
        </w:rPr>
        <w:t>I predicted a 3× lift. The data showed 11.9×.</w:t>
        <w:br/>
        <w:br/>
        <w:t>Being wrong by 4× was the most useful finding of the project.</w:t>
      </w:r>
    </w:p>
    <w:p>
      <w:r>
        <w:rPr>
          <w:rFonts w:ascii="Calibri" w:hAnsi="Calibri"/>
          <w:b/>
          <w:i w:val="0"/>
          <w:color w:val="1F6FB5"/>
          <w:sz w:val="20"/>
        </w:rPr>
        <w:t>BODY</w:t>
      </w:r>
    </w:p>
    <w:p>
      <w:pPr>
        <w:shd w:val="clear" w:color="auto" w:fill="F2F5F9"/>
      </w:pPr>
      <w:r>
        <w:rPr>
          <w:rFonts w:ascii="Calibri" w:hAnsi="Calibri"/>
          <w:color w:val="0B2A4A"/>
          <w:sz w:val="22"/>
        </w:rPr>
        <w:t>I hypothesized that customers who made a 2nd purchase within 30 days would have ~3× the lifetime value of one-time buyers.</w:t>
        <w:br/>
        <w:br/>
        <w:t>The actual data on 4,338 customers:</w:t>
        <w:br/>
        <w:t>• Fast 2nd-buyers (≤30 days): avg CLV £4,892</w:t>
        <w:br/>
        <w:t>• Slow 2nd-buyers (&gt;30 days): avg CLV £1,869</w:t>
        <w:br/>
        <w:t>• Never repeated: avg CLV £411</w:t>
        <w:br/>
        <w:br/>
        <w:t>Fast vs. Never = 11.9× multiplier.</w:t>
        <w:br/>
        <w:br/>
        <w:t>That one number turned a hypothesis into the highest-leverage CRM intervention in the project: a 30-day post-purchase nurture program.</w:t>
        <w:br/>
        <w:br/>
        <w:t>Back-of-envelope: moving 100 one-timers into the Fast cohort = ~£448k incremental annual revenue.</w:t>
      </w:r>
    </w:p>
    <w:p>
      <w:r>
        <w:rPr>
          <w:rFonts w:ascii="Calibri" w:hAnsi="Calibri"/>
          <w:b/>
          <w:i w:val="0"/>
          <w:color w:val="1F6FB5"/>
          <w:sz w:val="20"/>
        </w:rPr>
        <w:t>CALL TO ACTION</w:t>
      </w:r>
    </w:p>
    <w:p>
      <w:pPr>
        <w:shd w:val="clear" w:color="auto" w:fill="F2F5F9"/>
      </w:pPr>
      <w:r>
        <w:rPr>
          <w:rFonts w:ascii="Calibri" w:hAnsi="Calibri"/>
          <w:color w:val="0B2A4A"/>
          <w:sz w:val="22"/>
        </w:rPr>
        <w:t>When was the last time your data was 4× off from your gut? That's where the strategy lives.</w:t>
      </w:r>
    </w:p>
    <w:p>
      <w:r>
        <w:rPr>
          <w:rFonts w:ascii="Calibri" w:hAnsi="Calibri"/>
          <w:b/>
          <w:i w:val="0"/>
          <w:color w:val="1F6FB5"/>
          <w:sz w:val="20"/>
        </w:rPr>
        <w:t>HASHTAGS</w:t>
      </w:r>
    </w:p>
    <w:p>
      <w:r>
        <w:rPr>
          <w:rFonts w:ascii="Calibri" w:hAnsi="Calibri"/>
          <w:b w:val="0"/>
          <w:i/>
          <w:color w:val="555B66"/>
          <w:sz w:val="22"/>
        </w:rPr>
        <w:t>#CustomerAnalytics #CRMStrategy #DataAnalytics #LTV</w:t>
      </w:r>
    </w:p>
    <w:p/>
    <w:p>
      <w:pPr>
        <w:pStyle w:val="Heading2"/>
      </w:pPr>
      <w:r>
        <w:rPr>
          <w:rFonts w:ascii="Calibri" w:hAnsi="Calibri"/>
          <w:color w:val="0B2A4A"/>
        </w:rPr>
        <w:t>POST 3 — Hidden B2B in a B2C dataset</w:t>
      </w:r>
    </w:p>
    <w:p>
      <w:r>
        <w:rPr>
          <w:rFonts w:ascii="Calibri" w:hAnsi="Calibri"/>
          <w:b/>
          <w:i w:val="0"/>
          <w:color w:val="1F6FB5"/>
          <w:sz w:val="20"/>
        </w:rPr>
        <w:t>HOOK (first 3 lines — the most important part)</w:t>
      </w:r>
    </w:p>
    <w:p>
      <w:pPr>
        <w:shd w:val="clear" w:color="auto" w:fill="F2F5F9"/>
      </w:pPr>
      <w:r>
        <w:rPr>
          <w:rFonts w:ascii="Calibri" w:hAnsi="Calibri"/>
          <w:color w:val="0B2A4A"/>
          <w:sz w:val="22"/>
        </w:rPr>
        <w:t>Your B2C dataset has B2B customers in it.</w:t>
        <w:br/>
        <w:t>You're probably treating them like newsletter subscribers.</w:t>
      </w:r>
    </w:p>
    <w:p>
      <w:r>
        <w:rPr>
          <w:rFonts w:ascii="Calibri" w:hAnsi="Calibri"/>
          <w:b/>
          <w:i w:val="0"/>
          <w:color w:val="1F6FB5"/>
          <w:sz w:val="20"/>
        </w:rPr>
        <w:t>BODY</w:t>
      </w:r>
    </w:p>
    <w:p>
      <w:pPr>
        <w:shd w:val="clear" w:color="auto" w:fill="F2F5F9"/>
      </w:pPr>
      <w:r>
        <w:rPr>
          <w:rFonts w:ascii="Calibri" w:hAnsi="Calibri"/>
          <w:color w:val="0B2A4A"/>
          <w:sz w:val="22"/>
        </w:rPr>
        <w:t>On a UK retail dataset of 4,338 customers, ML clustering surfaced 689 "VIP B2B Accounts" — 16% of the base, 60% of the revenue.</w:t>
        <w:br/>
        <w:br/>
        <w:t>They behaved completely differently:</w:t>
        <w:br/>
        <w:t>• Avg 14 orders per year (vs. 2 for the median customer)</w:t>
        <w:br/>
        <w:t>• Avg basket 4-10× larger</w:t>
        <w:br/>
        <w:t>• Bought 10am–3pm Tuesday–Thursday (a working-hours pattern, not consumer evenings)</w:t>
        <w:br/>
        <w:br/>
        <w:t>The original manual analysis had caught the top 50 of them. K-means caught 13× more.</w:t>
        <w:br/>
        <w:br/>
        <w:t>These accounts don't need an email newsletter. They need a named Account Manager, custom pricing, and reorder workflows.</w:t>
      </w:r>
    </w:p>
    <w:p>
      <w:r>
        <w:rPr>
          <w:rFonts w:ascii="Calibri" w:hAnsi="Calibri"/>
          <w:b/>
          <w:i w:val="0"/>
          <w:color w:val="1F6FB5"/>
          <w:sz w:val="20"/>
        </w:rPr>
        <w:t>CALL TO ACTION</w:t>
      </w:r>
    </w:p>
    <w:p>
      <w:pPr>
        <w:shd w:val="clear" w:color="auto" w:fill="F2F5F9"/>
      </w:pPr>
      <w:r>
        <w:rPr>
          <w:rFonts w:ascii="Calibri" w:hAnsi="Calibri"/>
          <w:color w:val="0B2A4A"/>
          <w:sz w:val="22"/>
        </w:rPr>
        <w:t>Are you running a B2B operation behind a B2C marketing stack? The day-of-week × hour heatmap will tell you in 5 minutes.</w:t>
      </w:r>
    </w:p>
    <w:p>
      <w:r>
        <w:rPr>
          <w:rFonts w:ascii="Calibri" w:hAnsi="Calibri"/>
          <w:b/>
          <w:i w:val="0"/>
          <w:color w:val="1F6FB5"/>
          <w:sz w:val="20"/>
        </w:rPr>
        <w:t>HASHTAGS</w:t>
      </w:r>
    </w:p>
    <w:p>
      <w:r>
        <w:rPr>
          <w:rFonts w:ascii="Calibri" w:hAnsi="Calibri"/>
          <w:b w:val="0"/>
          <w:i/>
          <w:color w:val="555B66"/>
          <w:sz w:val="22"/>
        </w:rPr>
        <w:t>#MachineLearning #CustomerSegmentation #B2BAnalytics #CRMIntelligence</w:t>
      </w:r>
    </w:p>
    <w:p/>
    <w:p>
      <w:pPr>
        <w:pStyle w:val="Heading2"/>
      </w:pPr>
      <w:r>
        <w:rPr>
          <w:rFonts w:ascii="Calibri" w:hAnsi="Calibri"/>
          <w:color w:val="0B2A4A"/>
        </w:rPr>
        <w:t>POST 4 — "The LLM renders, the tools decide"</w:t>
      </w:r>
    </w:p>
    <w:p>
      <w:r>
        <w:rPr>
          <w:rFonts w:ascii="Calibri" w:hAnsi="Calibri"/>
          <w:b/>
          <w:i w:val="0"/>
          <w:color w:val="1F6FB5"/>
          <w:sz w:val="20"/>
        </w:rPr>
        <w:t>HOOK (first 3 lines — the most important part)</w:t>
      </w:r>
    </w:p>
    <w:p>
      <w:pPr>
        <w:shd w:val="clear" w:color="auto" w:fill="F2F5F9"/>
      </w:pPr>
      <w:r>
        <w:rPr>
          <w:rFonts w:ascii="Calibri" w:hAnsi="Calibri"/>
          <w:color w:val="0B2A4A"/>
          <w:sz w:val="22"/>
        </w:rPr>
        <w:t>The fastest way to make an AI agent useless?</w:t>
        <w:br/>
        <w:br/>
        <w:t>Let the LLM compute the numbers.</w:t>
      </w:r>
    </w:p>
    <w:p>
      <w:r>
        <w:rPr>
          <w:rFonts w:ascii="Calibri" w:hAnsi="Calibri"/>
          <w:b/>
          <w:i w:val="0"/>
          <w:color w:val="1F6FB5"/>
          <w:sz w:val="20"/>
        </w:rPr>
        <w:t>BODY</w:t>
      </w:r>
    </w:p>
    <w:p>
      <w:pPr>
        <w:shd w:val="clear" w:color="auto" w:fill="F2F5F9"/>
      </w:pPr>
      <w:r>
        <w:rPr>
          <w:rFonts w:ascii="Calibri" w:hAnsi="Calibri"/>
          <w:color w:val="0B2A4A"/>
          <w:sz w:val="22"/>
        </w:rPr>
        <w:t>I designed an AI Marketing Insights Agent for a CRM segmentation project. The design principle: the LLM renders narratives — it does not decide numbers.</w:t>
        <w:br/>
        <w:br/>
        <w:t>How it works:</w:t>
        <w:br/>
        <w:t>1. Four deterministic tools (persona summary · churn alert · revenue-opportunity quantification · campaign recommendation) pre-compute every £-figure from the data.</w:t>
        <w:br/>
        <w:t>2. The LLM receives structured dicts as input and renders them into a 6-bullet executive brief.</w:t>
        <w:br/>
        <w:t>3. An output validator rejects any £-figure the LLM produces that isn't in the input.</w:t>
        <w:br/>
        <w:br/>
        <w:t>Result: hallucination eliminated as a failure mode. Executive-quality narrative preserved.</w:t>
        <w:br/>
        <w:br/>
        <w:t>The agent generates per-persona briefs, churn alerts, and revenue-opportunity maps in seconds — the same questions that previously needed hours of analyst time.</w:t>
      </w:r>
    </w:p>
    <w:p>
      <w:r>
        <w:rPr>
          <w:rFonts w:ascii="Calibri" w:hAnsi="Calibri"/>
          <w:b/>
          <w:i w:val="0"/>
          <w:color w:val="1F6FB5"/>
          <w:sz w:val="20"/>
        </w:rPr>
        <w:t>CALL TO ACTION</w:t>
      </w:r>
    </w:p>
    <w:p>
      <w:pPr>
        <w:shd w:val="clear" w:color="auto" w:fill="F2F5F9"/>
      </w:pPr>
      <w:r>
        <w:rPr>
          <w:rFonts w:ascii="Calibri" w:hAnsi="Calibri"/>
          <w:color w:val="0B2A4A"/>
          <w:sz w:val="22"/>
        </w:rPr>
        <w:t>Designing an LLM system? Separate computation from rendering. It's a one-line architecture decision that prevents 80% of failure modes.</w:t>
      </w:r>
    </w:p>
    <w:p>
      <w:r>
        <w:rPr>
          <w:rFonts w:ascii="Calibri" w:hAnsi="Calibri"/>
          <w:b/>
          <w:i w:val="0"/>
          <w:color w:val="1F6FB5"/>
          <w:sz w:val="20"/>
        </w:rPr>
        <w:t>HASHTAGS</w:t>
      </w:r>
    </w:p>
    <w:p>
      <w:r>
        <w:rPr>
          <w:rFonts w:ascii="Calibri" w:hAnsi="Calibri"/>
          <w:b w:val="0"/>
          <w:i/>
          <w:color w:val="555B66"/>
          <w:sz w:val="22"/>
        </w:rPr>
        <w:t>#AgenticAI #LLMs #AISystemDesign #DataScience #CRMIntelligence</w:t>
      </w:r>
    </w:p>
    <w:p/>
    <w:p>
      <w:pPr>
        <w:pStyle w:val="Heading2"/>
      </w:pPr>
      <w:r>
        <w:rPr>
          <w:rFonts w:ascii="Calibri" w:hAnsi="Calibri"/>
          <w:color w:val="0B2A4A"/>
        </w:rPr>
        <w:t>POST 5 — Why I chose K=5, not K=2</w:t>
      </w:r>
    </w:p>
    <w:p>
      <w:r>
        <w:rPr>
          <w:rFonts w:ascii="Calibri" w:hAnsi="Calibri"/>
          <w:b/>
          <w:i w:val="0"/>
          <w:color w:val="1F6FB5"/>
          <w:sz w:val="20"/>
        </w:rPr>
        <w:t>HOOK (first 3 lines — the most important part)</w:t>
      </w:r>
    </w:p>
    <w:p>
      <w:pPr>
        <w:shd w:val="clear" w:color="auto" w:fill="F2F5F9"/>
      </w:pPr>
      <w:r>
        <w:rPr>
          <w:rFonts w:ascii="Calibri" w:hAnsi="Calibri"/>
          <w:color w:val="0B2A4A"/>
          <w:sz w:val="22"/>
        </w:rPr>
        <w:t>K=2 had the highest silhouette score.</w:t>
        <w:br/>
        <w:t>I rejected it. Here's why.</w:t>
      </w:r>
    </w:p>
    <w:p>
      <w:r>
        <w:rPr>
          <w:rFonts w:ascii="Calibri" w:hAnsi="Calibri"/>
          <w:b/>
          <w:i w:val="0"/>
          <w:color w:val="1F6FB5"/>
          <w:sz w:val="20"/>
        </w:rPr>
        <w:t>BODY</w:t>
      </w:r>
    </w:p>
    <w:p>
      <w:pPr>
        <w:shd w:val="clear" w:color="auto" w:fill="F2F5F9"/>
      </w:pPr>
      <w:r>
        <w:rPr>
          <w:rFonts w:ascii="Calibri" w:hAnsi="Calibri"/>
          <w:color w:val="0B2A4A"/>
          <w:sz w:val="22"/>
        </w:rPr>
        <w:t>I built an ML customer segmentation on 4,338 customers using K-means. The elbow + silhouette diagnostics looked like this:</w:t>
        <w:br/>
        <w:t>• K=2: highest silhouette</w:t>
        <w:br/>
        <w:t>• K=5: near-elbow, moderate silhouette (0.279)</w:t>
        <w:br/>
        <w:t>• K=8+: marginal silhouette gains, splitting already-named personas</w:t>
        <w:br/>
        <w:br/>
        <w:t>I chose K=5.</w:t>
        <w:br/>
        <w:br/>
        <w:t>Why? K=2 collapsed all valuable customers into one "high-value blob" that was useless to a CMO. There was no actionable subdivision between Champions, Loyal customers, and B2B accounts — they all looked the same.</w:t>
        <w:br/>
        <w:br/>
        <w:t>K=5 produced 5 distinct personas, each with a named campaign, a channel, and a budget priority:</w:t>
        <w:br/>
        <w:t>• VIP B2B Accounts · Loyal Repeat Buyers · Engaged New Buyers · Casual Low-Value Buyers · Dormant Former Buyers</w:t>
        <w:br/>
        <w:br/>
        <w:t>The right K isn't the K that maximizes silhouette. It's the K that produces personas you can build campaigns around.</w:t>
      </w:r>
    </w:p>
    <w:p>
      <w:r>
        <w:rPr>
          <w:rFonts w:ascii="Calibri" w:hAnsi="Calibri"/>
          <w:b/>
          <w:i w:val="0"/>
          <w:color w:val="1F6FB5"/>
          <w:sz w:val="20"/>
        </w:rPr>
        <w:t>CALL TO ACTION</w:t>
      </w:r>
    </w:p>
    <w:p>
      <w:pPr>
        <w:shd w:val="clear" w:color="auto" w:fill="F2F5F9"/>
      </w:pPr>
      <w:r>
        <w:rPr>
          <w:rFonts w:ascii="Calibri" w:hAnsi="Calibri"/>
          <w:color w:val="0B2A4A"/>
          <w:sz w:val="22"/>
        </w:rPr>
        <w:t>If your clustering output can't be turned into a Q1 marketing plan, you picked the wrong K.</w:t>
      </w:r>
    </w:p>
    <w:p>
      <w:r>
        <w:rPr>
          <w:rFonts w:ascii="Calibri" w:hAnsi="Calibri"/>
          <w:b/>
          <w:i w:val="0"/>
          <w:color w:val="1F6FB5"/>
          <w:sz w:val="20"/>
        </w:rPr>
        <w:t>HASHTAGS</w:t>
      </w:r>
    </w:p>
    <w:p>
      <w:r>
        <w:rPr>
          <w:rFonts w:ascii="Calibri" w:hAnsi="Calibri"/>
          <w:b w:val="0"/>
          <w:i/>
          <w:color w:val="555B66"/>
          <w:sz w:val="22"/>
        </w:rPr>
        <w:t>#MachineLearning #DataScience #CustomerSegmentation #CRMAnalytics</w:t>
      </w:r>
    </w:p>
    <w:p/>
    <w:p>
      <w:pPr>
        <w:pStyle w:val="Heading2"/>
      </w:pPr>
      <w:r>
        <w:rPr>
          <w:rFonts w:ascii="Calibri" w:hAnsi="Calibri"/>
          <w:color w:val="0B2A4A"/>
        </w:rPr>
        <w:t>Posting Strategy</w:t>
      </w:r>
    </w:p>
    <w:p>
      <w:r>
        <w:rPr>
          <w:rFonts w:ascii="Calibri" w:hAnsi="Calibri"/>
          <w:b/>
          <w:i w:val="0"/>
          <w:sz w:val="22"/>
        </w:rPr>
        <w:t>Frequency:</w:t>
      </w:r>
    </w:p>
    <w:p>
      <w:r>
        <w:rPr>
          <w:rFonts w:ascii="Calibri" w:hAnsi="Calibri"/>
          <w:b w:val="0"/>
          <w:i w:val="0"/>
          <w:sz w:val="22"/>
        </w:rPr>
        <w:t>1 post per week for 5 weeks. Schedule Tuesday-Thursday 9-10am (peak LinkedIn engagement).</w:t>
      </w:r>
    </w:p>
    <w:p>
      <w:r>
        <w:rPr>
          <w:rFonts w:ascii="Calibri" w:hAnsi="Calibri"/>
          <w:b/>
          <w:i w:val="0"/>
          <w:sz w:val="22"/>
        </w:rPr>
        <w:t>Sequencing logic:</w:t>
      </w:r>
    </w:p>
    <w:p>
      <w:r>
        <w:rPr>
          <w:rFonts w:ascii="Calibri" w:hAnsi="Calibri"/>
          <w:b w:val="0"/>
          <w:i w:val="0"/>
          <w:sz w:val="22"/>
        </w:rPr>
        <w:t>• Post 1 (Pareto) is the easiest to engage with — start here to warm up.</w:t>
      </w:r>
    </w:p>
    <w:p>
      <w:r>
        <w:rPr>
          <w:rFonts w:ascii="Calibri" w:hAnsi="Calibri"/>
          <w:b w:val="0"/>
          <w:i w:val="0"/>
          <w:sz w:val="22"/>
        </w:rPr>
        <w:t>• Post 2 (11.9×) is your strongest hook — post it second when your network is primed.</w:t>
      </w:r>
    </w:p>
    <w:p>
      <w:r>
        <w:rPr>
          <w:rFonts w:ascii="Calibri" w:hAnsi="Calibri"/>
          <w:b w:val="0"/>
          <w:i w:val="0"/>
          <w:sz w:val="22"/>
        </w:rPr>
        <w:t>• Post 3 (B2B in B2C) is the signal post for hiring managers — the surprising insight.</w:t>
      </w:r>
    </w:p>
    <w:p>
      <w:r>
        <w:rPr>
          <w:rFonts w:ascii="Calibri" w:hAnsi="Calibri"/>
          <w:b w:val="0"/>
          <w:i w:val="0"/>
          <w:sz w:val="22"/>
        </w:rPr>
        <w:t>• Post 4 (Agentic AI) is the differentiator for Avelabs / CRM-AI roles.</w:t>
      </w:r>
    </w:p>
    <w:p>
      <w:r>
        <w:rPr>
          <w:rFonts w:ascii="Calibri" w:hAnsi="Calibri"/>
          <w:b w:val="0"/>
          <w:i w:val="0"/>
          <w:sz w:val="22"/>
        </w:rPr>
        <w:t>• Post 5 (K=5) demonstrates ML judgment — closes the sequence on a technical-depth note.</w:t>
      </w:r>
    </w:p>
    <w:p>
      <w:r>
        <w:rPr>
          <w:rFonts w:ascii="Calibri" w:hAnsi="Calibri"/>
          <w:b/>
          <w:i w:val="0"/>
          <w:sz w:val="22"/>
        </w:rPr>
        <w:t>Per-post tactics:</w:t>
      </w:r>
    </w:p>
    <w:p>
      <w:r>
        <w:rPr>
          <w:rFonts w:ascii="Calibri" w:hAnsi="Calibri"/>
          <w:b w:val="0"/>
          <w:i w:val="0"/>
          <w:sz w:val="22"/>
        </w:rPr>
        <w:t>• Link the GitHub repo in the FIRST comment, not the post body (LinkedIn down-ranks posts with external links).</w:t>
      </w:r>
    </w:p>
    <w:p>
      <w:r>
        <w:rPr>
          <w:rFonts w:ascii="Calibri" w:hAnsi="Calibri"/>
          <w:b w:val="0"/>
          <w:i w:val="0"/>
          <w:sz w:val="22"/>
        </w:rPr>
        <w:t>• Reply to early commenters within 30 minutes — drives algorithmic reach.</w:t>
      </w:r>
    </w:p>
    <w:p>
      <w:r>
        <w:rPr>
          <w:rFonts w:ascii="Calibri" w:hAnsi="Calibri"/>
          <w:b w:val="0"/>
          <w:i w:val="0"/>
          <w:sz w:val="22"/>
        </w:rPr>
        <w:t>• Tag 2-3 people who would care about each topic (CMOs, CRM managers, data leads).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