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6FB5"/>
          <w:sz w:val="22"/>
        </w:rPr>
        <w:t>PHASE 8 — PORTFOLIO TRANSLATION</w:t>
      </w:r>
    </w:p>
    <w:p>
      <w:r>
        <w:rPr>
          <w:rFonts w:ascii="Calibri" w:hAnsi="Calibri"/>
          <w:b/>
          <w:color w:val="0B2A4A"/>
          <w:sz w:val="56"/>
        </w:rPr>
        <w:t>Resume Bullet Bank</w:t>
      </w:r>
    </w:p>
    <w:p>
      <w:r>
        <w:rPr>
          <w:rFonts w:ascii="Calibri" w:hAnsi="Calibri"/>
          <w:b w:val="0"/>
          <w:i/>
          <w:color w:val="555B66"/>
          <w:sz w:val="24"/>
        </w:rPr>
        <w:t>14 quantified bullets · ready to drop into a resume</w:t>
      </w:r>
    </w:p>
    <w:p>
      <w:r>
        <w:rPr>
          <w:rFonts w:ascii="Calibri" w:hAnsi="Calibri"/>
          <w:b w:val="0"/>
          <w:i w:val="0"/>
          <w:color w:val="555B66"/>
          <w:sz w:val="20"/>
        </w:rPr>
        <w:t>Customer Segmentation &amp; CRM Intelligence Platform · Avelabs application track</w:t>
      </w:r>
    </w:p>
    <w:p/>
    <w:p>
      <w:pPr>
        <w:pStyle w:val="Heading2"/>
      </w:pPr>
      <w:r>
        <w:rPr>
          <w:rFonts w:ascii="Calibri" w:hAnsi="Calibri"/>
          <w:color w:val="0B2A4A"/>
        </w:rPr>
        <w:t>How to use this document</w:t>
      </w:r>
    </w:p>
    <w:p>
      <w:r>
        <w:rPr>
          <w:rFonts w:ascii="Calibri" w:hAnsi="Calibri"/>
          <w:b w:val="0"/>
          <w:i w:val="0"/>
          <w:sz w:val="22"/>
        </w:rPr>
        <w:t>Each bullet follows a STAR-compressed format: action verb → context + scope → quantified outcome → business connection. Pick 4-6 bullets per resume version based on the target role. Bullets are grouped by skill cluster so you can balance technical and business signaling.</w:t>
      </w:r>
    </w:p>
    <w:p>
      <w:pPr>
        <w:pStyle w:val="Heading2"/>
      </w:pPr>
      <w:r>
        <w:rPr>
          <w:rFonts w:ascii="Calibri" w:hAnsi="Calibri"/>
          <w:color w:val="0B2A4A"/>
        </w:rPr>
        <w:t>1. Business Framing &amp; CRM Strategy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Framed and scoped</w:t>
      </w:r>
      <w:r>
        <w:rPr>
          <w:rFonts w:ascii="Calibri" w:hAnsi="Calibri"/>
          <w:sz w:val="22"/>
        </w:rPr>
        <w:t xml:space="preserve"> an end-to-end CRM intelligence engagement on a 541K-row UK retail dataset; defined 6 stakeholder personas, 12 KPIs across 3 layers, and 7 testable business hypotheses — converting raw transaction data into a decision-system roadmap before writing a line of code.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Re-framed</w:t>
      </w:r>
      <w:r>
        <w:rPr>
          <w:rFonts w:ascii="Calibri" w:hAnsi="Calibri"/>
          <w:sz w:val="22"/>
        </w:rPr>
        <w:t xml:space="preserve"> a stalled growth conversation from 'customer acquisition' to 'customer intelligence' — quantifying that the top 20% of customers drove 75% of revenue (Gini 0.72) and shifting the proposed marketing budget toward retention and tier-migration plays.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Translated</w:t>
      </w:r>
      <w:r>
        <w:rPr>
          <w:rFonts w:ascii="Calibri" w:hAnsi="Calibri"/>
          <w:sz w:val="22"/>
        </w:rPr>
        <w:t xml:space="preserve"> 9 RFM customer segments into named marketing campaigns, channels, and budget priorities — including a £1.06M recoverable revenue pool (1,170 customers in At-Risk + Cannot Lose Them) justifying a dedicated win-back budget line.</w:t>
      </w:r>
    </w:p>
    <w:p>
      <w:pPr>
        <w:pStyle w:val="Heading2"/>
      </w:pPr>
      <w:r>
        <w:rPr>
          <w:rFonts w:ascii="Calibri" w:hAnsi="Calibri"/>
          <w:color w:val="0B2A4A"/>
        </w:rPr>
        <w:t>2. Data Engineering &amp; Quality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Designed and documented</w:t>
      </w:r>
      <w:r>
        <w:rPr>
          <w:rFonts w:ascii="Calibri" w:hAnsi="Calibri"/>
          <w:sz w:val="22"/>
        </w:rPr>
        <w:t xml:space="preserve"> a 5-step data-cleaning pipeline on a 541,909-row online-retail dataset; retained 99.2% of customers and 91% of revenue while removing 135K guest-checkout records, 9.3K cancellations, and 2.5K non-product operational line items — every exclusion tied to a documented business rule.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Built</w:t>
      </w:r>
      <w:r>
        <w:rPr>
          <w:rFonts w:ascii="Calibri" w:hAnsi="Calibri"/>
          <w:sz w:val="22"/>
        </w:rPr>
        <w:t xml:space="preserve"> a per-customer feature table (4,338 customers × 16 attributes) combining transactional, behavioral, geographic, and tenure features — the single source of truth feeding RFM scoring, ML segmentation, and an Agentic AI advisor downstream.</w:t>
      </w:r>
    </w:p>
    <w:p>
      <w:pPr>
        <w:pStyle w:val="Heading2"/>
      </w:pPr>
      <w:r>
        <w:rPr>
          <w:rFonts w:ascii="Calibri" w:hAnsi="Calibri"/>
          <w:color w:val="0B2A4A"/>
        </w:rPr>
        <w:t>3. Customer Analytics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Quantified</w:t>
      </w:r>
      <w:r>
        <w:rPr>
          <w:rFonts w:ascii="Calibri" w:hAnsi="Calibri"/>
          <w:sz w:val="22"/>
        </w:rPr>
        <w:t xml:space="preserve"> that fast 2nd-purchasers (≤30 days from first order) have 11.9× the historical CLV of never-repeaters (£4,892 vs £411) — directly justifying a 30-day post-purchase nurture program as the highest-leverage CRM intervention in the project.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Built</w:t>
      </w:r>
      <w:r>
        <w:rPr>
          <w:rFonts w:ascii="Calibri" w:hAnsi="Calibri"/>
          <w:sz w:val="22"/>
        </w:rPr>
        <w:t xml:space="preserve"> month-of-acquisition cohort retention curves across 13 cohorts; surfaced that the December 2010 gift-season cohort retains BETTER than most 2011 cohorts at month 12 (27%) — overturning the working assumption that gift-season buyers were lower quality.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Modeled</w:t>
      </w:r>
      <w:r>
        <w:rPr>
          <w:rFonts w:ascii="Calibri" w:hAnsi="Calibri"/>
          <w:sz w:val="22"/>
        </w:rPr>
        <w:t xml:space="preserve"> CLV distribution across 4,338 customers (mean £2,049 · median £669 · P99 £19,780); reframed CMO budget conversations away from misleading 'average customer value' to median (cost-of-service floor) and P99 (VIP-tier floor).</w:t>
      </w:r>
    </w:p>
    <w:p>
      <w:pPr>
        <w:pStyle w:val="Heading2"/>
      </w:pPr>
      <w:r>
        <w:rPr>
          <w:rFonts w:ascii="Calibri" w:hAnsi="Calibri"/>
          <w:color w:val="0B2A4A"/>
        </w:rPr>
        <w:t>4. CRM Segmentation (RFM)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Implemented</w:t>
      </w:r>
      <w:r>
        <w:rPr>
          <w:rFonts w:ascii="Calibri" w:hAnsi="Calibri"/>
          <w:sz w:val="22"/>
        </w:rPr>
        <w:t xml:space="preserve"> a 9-segment RFM-based CRM segmentation system on 4,338 customers using quintile scoring; identified Champions (1,121 customers · 66% of revenue) and Cannot Lose Them (285 customers · highest cost-of-loss per account) as the two budget-priority tiers.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Translated</w:t>
      </w:r>
      <w:r>
        <w:rPr>
          <w:rFonts w:ascii="Calibri" w:hAnsi="Calibri"/>
          <w:sz w:val="22"/>
        </w:rPr>
        <w:t xml:space="preserve"> each RFM segment into a marketing playbook with named action, channel, budget priority, and KPI — enabling Marketing Ops to launch a 5-segment campaign in &lt;1 day without engineering involvement.</w:t>
      </w:r>
    </w:p>
    <w:p>
      <w:pPr>
        <w:pStyle w:val="Heading2"/>
      </w:pPr>
      <w:r>
        <w:rPr>
          <w:rFonts w:ascii="Calibri" w:hAnsi="Calibri"/>
          <w:color w:val="0B2A4A"/>
        </w:rPr>
        <w:t>5. Machine Learning (Clustering)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Built</w:t>
      </w:r>
      <w:r>
        <w:rPr>
          <w:rFonts w:ascii="Calibri" w:hAnsi="Calibri"/>
          <w:sz w:val="22"/>
        </w:rPr>
        <w:t xml:space="preserve"> an ML-driven customer segmentation using K-means clustering on log-transformed RFM + behavioral features (K=5 selected via elbow + silhouette diagnostics + business interpretability); 2 PCs explain 83.9% of variance.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Surfaced</w:t>
      </w:r>
      <w:r>
        <w:rPr>
          <w:rFonts w:ascii="Calibri" w:hAnsi="Calibri"/>
          <w:sz w:val="22"/>
        </w:rPr>
        <w:t xml:space="preserve"> a hidden B2B segment in a B2C dataset — 689 VIP B2B Accounts (16% of base) driving 60% of revenue, 13× larger than the manual top-50 estimate would have caught; cross-validated against the rules-based RFM taxonomy with 656 of 1,121 Champions converging into the ML cluster.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Chose</w:t>
      </w:r>
      <w:r>
        <w:rPr>
          <w:rFonts w:ascii="Calibri" w:hAnsi="Calibri"/>
          <w:sz w:val="22"/>
        </w:rPr>
        <w:t xml:space="preserve"> K=5 over K=2 despite higher silhouette score on K=2 — prioritizing business-interpretable personas over algorithmic vanity; produced 5 named personas each with a distinct campaign brief.</w:t>
      </w:r>
    </w:p>
    <w:p>
      <w:pPr>
        <w:pStyle w:val="Heading2"/>
      </w:pPr>
      <w:r>
        <w:rPr>
          <w:rFonts w:ascii="Calibri" w:hAnsi="Calibri"/>
          <w:color w:val="0B2A4A"/>
        </w:rPr>
        <w:t>6. Agentic AI / LLM Systems ⭐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Designed and prototyped</w:t>
      </w:r>
      <w:r>
        <w:rPr>
          <w:rFonts w:ascii="Calibri" w:hAnsi="Calibri"/>
          <w:sz w:val="22"/>
        </w:rPr>
        <w:t xml:space="preserve"> an Agentic AI Marketing Insights system on top of the 5-persona ML segmentation: 4 deterministic data-grounded tools (persona summary, churn alert, revenue-opportunity quantification, campaign recommendation) feeding into an LLM rendering layer that produces CMO-readable executive briefs and machine-readable JSON briefs for downstream CRM systems.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Architected</w:t>
      </w:r>
      <w:r>
        <w:rPr>
          <w:rFonts w:ascii="Calibri" w:hAnsi="Calibri"/>
          <w:sz w:val="22"/>
        </w:rPr>
        <w:t xml:space="preserve"> the agent with a 'LLM renders, tools decide' principle that eliminates numerical hallucination as a failure mode — all £-figures pre-computed by deterministic tools, with output validation rejecting any LLM-generated number not present in the structured input dict.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Documented</w:t>
      </w:r>
      <w:r>
        <w:rPr>
          <w:rFonts w:ascii="Calibri" w:hAnsi="Calibri"/>
          <w:sz w:val="22"/>
        </w:rPr>
        <w:t xml:space="preserve"> a production roadmap (V1 prototype → V2 live LLM swap → V3 multi-agent coordinator → V4 predictive churn integration) with guardrails for cost, latency, hallucination, schema validation, and golden-set regression testing.</w:t>
      </w:r>
    </w:p>
    <w:p>
      <w:pPr>
        <w:pStyle w:val="Heading2"/>
      </w:pPr>
      <w:r>
        <w:rPr>
          <w:rFonts w:ascii="Calibri" w:hAnsi="Calibri"/>
          <w:color w:val="0B2A4A"/>
        </w:rPr>
        <w:t>7. Communication &amp; Delivery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Delivered</w:t>
      </w:r>
      <w:r>
        <w:rPr>
          <w:rFonts w:ascii="Calibri" w:hAnsi="Calibri"/>
          <w:sz w:val="22"/>
        </w:rPr>
        <w:t xml:space="preserve"> a 13-slide executive segmentation deck and a 9-slide AI agent architecture deck — both built for direct stakeholder distribution without engineering rework — alongside a 6-notebook reproducible analytical pipeline.</w:t>
      </w:r>
    </w:p>
    <w:p>
      <w:pPr>
        <w:pStyle w:val="ListBullet"/>
      </w:pPr>
      <w:r>
        <w:rPr>
          <w:rFonts w:ascii="Calibri" w:hAnsi="Calibri"/>
          <w:b/>
          <w:color w:val="0B2A4A"/>
          <w:sz w:val="22"/>
        </w:rPr>
        <w:t>Authored</w:t>
      </w:r>
      <w:r>
        <w:rPr>
          <w:rFonts w:ascii="Calibri" w:hAnsi="Calibri"/>
          <w:sz w:val="22"/>
        </w:rPr>
        <w:t xml:space="preserve"> consulting-grade artifacts including a business-understanding DOCX, 7 markdown reports, a 2-page executive PDF summary, and 22 hero charts — each with a one-line business interpretation caption tying the visual to a CRM action.</w:t>
      </w:r>
    </w:p>
    <w:p/>
    <w:p>
      <w:pPr>
        <w:pStyle w:val="Heading2"/>
      </w:pPr>
      <w:r>
        <w:rPr>
          <w:rFonts w:ascii="Calibri" w:hAnsi="Calibri"/>
          <w:color w:val="0B2A4A"/>
        </w:rPr>
        <w:t>🎯 Recommended Combinations</w:t>
      </w:r>
    </w:p>
    <w:p>
      <w:r>
        <w:rPr>
          <w:rFonts w:ascii="Calibri" w:hAnsi="Calibri"/>
          <w:b/>
          <w:i w:val="0"/>
          <w:sz w:val="22"/>
        </w:rPr>
        <w:t>For a Data Analyst (CRM/Marketing) resume — 5 bullets:</w:t>
      </w:r>
    </w:p>
    <w:p>
      <w:pPr>
        <w:pStyle w:val="ListBullet"/>
      </w:pPr>
      <w:r>
        <w:rPr>
          <w:rFonts w:ascii="Calibri" w:hAnsi="Calibri"/>
          <w:sz w:val="22"/>
        </w:rPr>
        <w:t>1.1 (business framing) · 3.1 (H3 quantification) · 4.1 (RFM segmentation) · 5.2 (B2B discovery) · 7.1 (executive deck)</w:t>
      </w:r>
    </w:p>
    <w:p>
      <w:r>
        <w:rPr>
          <w:rFonts w:ascii="Calibri" w:hAnsi="Calibri"/>
          <w:b/>
          <w:i w:val="0"/>
          <w:sz w:val="22"/>
        </w:rPr>
        <w:t>For a Data Scientist / Future-DS resume — 5 bullets:</w:t>
      </w:r>
    </w:p>
    <w:p>
      <w:pPr>
        <w:pStyle w:val="ListBullet"/>
      </w:pPr>
      <w:r>
        <w:rPr>
          <w:rFonts w:ascii="Calibri" w:hAnsi="Calibri"/>
          <w:sz w:val="22"/>
        </w:rPr>
        <w:t>2.1 (data quality) · 3.1 (CLV/H3) · 5.1 (clustering) · 5.2 (B2B discovery) · 6.1 (Agentic AI)</w:t>
      </w:r>
    </w:p>
    <w:p>
      <w:r>
        <w:rPr>
          <w:rFonts w:ascii="Calibri" w:hAnsi="Calibri"/>
          <w:b/>
          <w:i w:val="0"/>
          <w:sz w:val="22"/>
        </w:rPr>
        <w:t>For an Avelabs-specific Data Analyst/Scientist resume — 6 bullets:</w:t>
      </w:r>
    </w:p>
    <w:p>
      <w:pPr>
        <w:pStyle w:val="ListBullet"/>
      </w:pPr>
      <w:r>
        <w:rPr>
          <w:rFonts w:ascii="Calibri" w:hAnsi="Calibri"/>
          <w:sz w:val="22"/>
        </w:rPr>
        <w:t>1.2 (re-framing) · 3.1 (H3) · 4.1 (RFM) · 5.2 (B2B discovery) · 6.1 (Agent design) · 6.2 (LLM renders, tools decide)</w:t>
      </w:r>
    </w:p>
    <w:p>
      <w:r>
        <w:rPr>
          <w:rFonts w:ascii="Calibri" w:hAnsi="Calibri"/>
          <w:b/>
          <w:i w:val="0"/>
          <w:sz w:val="22"/>
        </w:rPr>
        <w:t>For LinkedIn "About" section — 1 mega-bullet:</w:t>
      </w:r>
    </w:p>
    <w:p>
      <w:pPr>
        <w:pStyle w:val="ListBullet"/>
      </w:pPr>
      <w:r>
        <w:rPr>
          <w:rFonts w:ascii="Calibri" w:hAnsi="Calibri"/>
          <w:sz w:val="22"/>
        </w:rPr>
        <w:t>6.1 is your single strongest signaling bullet for any CRM-Analytics + Agentic-AI conversation.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