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6FB5"/>
          <w:sz w:val="22"/>
        </w:rPr>
        <w:t>PHASE 8 — PORTFOLIO TRANSLATION</w:t>
      </w:r>
    </w:p>
    <w:p>
      <w:r>
        <w:rPr>
          <w:rFonts w:ascii="Calibri" w:hAnsi="Calibri"/>
          <w:b/>
          <w:color w:val="0B2A4A"/>
          <w:sz w:val="56"/>
        </w:rPr>
        <w:t>STAR Interview Stories</w:t>
      </w:r>
    </w:p>
    <w:p>
      <w:r>
        <w:rPr>
          <w:rFonts w:ascii="Calibri" w:hAnsi="Calibri"/>
          <w:b w:val="0"/>
          <w:i/>
          <w:color w:val="555B66"/>
          <w:sz w:val="24"/>
        </w:rPr>
        <w:t>7 stories · structured Situation / Task / Action / Result · ready for behavioral rounds</w:t>
      </w:r>
    </w:p>
    <w:p/>
    <w:p>
      <w:pPr>
        <w:pStyle w:val="Heading2"/>
      </w:pPr>
      <w:r>
        <w:rPr>
          <w:rFonts w:ascii="Calibri" w:hAnsi="Calibri"/>
          <w:color w:val="0B2A4A"/>
        </w:rPr>
        <w:t>How to use this document</w:t>
      </w:r>
    </w:p>
    <w:p>
      <w:r>
        <w:rPr>
          <w:rFonts w:ascii="Calibri" w:hAnsi="Calibri"/>
          <w:b w:val="0"/>
          <w:i w:val="0"/>
          <w:sz w:val="22"/>
        </w:rPr>
        <w:t>These are rehearsable behavioral-interview answers. Each story is tagged with the likely interview questions it answers, so you can match the right story to the right prompt in the moment. Practice telling each in 90-120 seconds out loud — that's the sweet spot for "Tell me about a time…" answers.</w:t>
      </w:r>
    </w:p>
    <w:p>
      <w:pPr>
        <w:pStyle w:val="Heading2"/>
      </w:pPr>
      <w:r>
        <w:rPr>
          <w:rFonts w:ascii="Calibri" w:hAnsi="Calibri"/>
          <w:color w:val="0B2A4A"/>
        </w:rPr>
        <w:t>Story 1 — Re-framing a problem</w:t>
      </w:r>
    </w:p>
    <w:p>
      <w:r>
        <w:rPr>
          <w:rFonts w:ascii="Calibri" w:hAnsi="Calibri"/>
          <w:b/>
          <w:i w:val="0"/>
          <w:color w:val="1F6FB5"/>
          <w:sz w:val="20"/>
        </w:rPr>
        <w:t>Likely interview questions this answers:</w:t>
      </w:r>
    </w:p>
    <w:p>
      <w:r>
        <w:rPr>
          <w:rFonts w:ascii="Calibri" w:hAnsi="Calibri"/>
          <w:b w:val="0"/>
          <w:i/>
          <w:color w:val="555B66"/>
          <w:sz w:val="22"/>
        </w:rPr>
        <w:t>Tell me about a time you re-framed a problem · Tell me about a time you challenged the brief</w:t>
      </w:r>
    </w:p>
    <w:p>
      <w:r>
        <w:rPr>
          <w:rFonts w:ascii="Calibri" w:hAnsi="Calibri"/>
          <w:b/>
          <w:i w:val="0"/>
          <w:color w:val="1F6FB5"/>
          <w:sz w:val="20"/>
        </w:rPr>
        <w:t>SITUATION</w:t>
      </w:r>
    </w:p>
    <w:p>
      <w:r>
        <w:rPr>
          <w:rFonts w:ascii="Calibri" w:hAnsi="Calibri"/>
          <w:b w:val="0"/>
          <w:i w:val="0"/>
          <w:sz w:val="22"/>
        </w:rPr>
        <w:t>I was working on a CRM intelligence engagement for a UK-based online retailer with 4,300+ customers across 38 countries. The stated brief from leadership was 'we need to grow revenue — propose a customer acquisition campaign.'</w:t>
      </w:r>
    </w:p>
    <w:p>
      <w:r>
        <w:rPr>
          <w:rFonts w:ascii="Calibri" w:hAnsi="Calibri"/>
          <w:b/>
          <w:i w:val="0"/>
          <w:color w:val="1F6FB5"/>
          <w:sz w:val="20"/>
        </w:rPr>
        <w:t>TASK</w:t>
      </w:r>
    </w:p>
    <w:p>
      <w:r>
        <w:rPr>
          <w:rFonts w:ascii="Calibri" w:hAnsi="Calibri"/>
          <w:b w:val="0"/>
          <w:i w:val="0"/>
          <w:sz w:val="22"/>
        </w:rPr>
        <w:t>My job was to translate the business request into an analytical roadmap. But before scoping the work, I wanted to test whether 'more acquisition' was actually the right lever.</w:t>
      </w:r>
    </w:p>
    <w:p>
      <w:r>
        <w:rPr>
          <w:rFonts w:ascii="Calibri" w:hAnsi="Calibri"/>
          <w:b/>
          <w:i w:val="0"/>
          <w:color w:val="1F6FB5"/>
          <w:sz w:val="20"/>
        </w:rPr>
        <w:t>ACTION</w:t>
      </w:r>
    </w:p>
    <w:p>
      <w:r>
        <w:rPr>
          <w:rFonts w:ascii="Calibri" w:hAnsi="Calibri"/>
          <w:b w:val="0"/>
          <w:i w:val="0"/>
          <w:sz w:val="22"/>
        </w:rPr>
        <w:t>I ran a Lorenz curve on the full customer base. The top 20% of customers were driving 75% of revenue, with a Gini coefficient of 0.72 — extreme concentration. The top 1% alone contributed 31.8%. I went back to the stakeholders with a re-framed brief: 'The company doesn\'t have a customer acquisition problem. It has a customer intelligence problem.' I proposed a CRM segmentation engagement instead, with retention and tier-migration as the primary growth levers.</w:t>
      </w:r>
    </w:p>
    <w:p>
      <w:r>
        <w:rPr>
          <w:rFonts w:ascii="Calibri" w:hAnsi="Calibri"/>
          <w:b/>
          <w:i w:val="0"/>
          <w:color w:val="1F6FB5"/>
          <w:sz w:val="20"/>
        </w:rPr>
        <w:t>RESULT</w:t>
      </w:r>
    </w:p>
    <w:p>
      <w:r>
        <w:rPr>
          <w:rFonts w:ascii="Calibri" w:hAnsi="Calibri"/>
          <w:b w:val="0"/>
          <w:i w:val="0"/>
          <w:sz w:val="22"/>
        </w:rPr>
        <w:t>The re-framed engagement produced a 9-segment CRM playbook, an ML-driven 5-persona segmentation, and an AI advisor that surfaces a £1.06M recoverable revenue pool sitting in dormant customers. The total revenue at risk if we'd executed the original acquisition campaign without protecting Champions first was estimated at 60%+ of the existing book.</w:t>
      </w:r>
    </w:p>
    <w:p/>
    <w:p>
      <w:pPr>
        <w:pStyle w:val="Heading2"/>
      </w:pPr>
      <w:r>
        <w:rPr>
          <w:rFonts w:ascii="Calibri" w:hAnsi="Calibri"/>
          <w:color w:val="0B2A4A"/>
        </w:rPr>
        <w:t>Story 2 — A surprising data insight</w:t>
      </w:r>
    </w:p>
    <w:p>
      <w:r>
        <w:rPr>
          <w:rFonts w:ascii="Calibri" w:hAnsi="Calibri"/>
          <w:b/>
          <w:i w:val="0"/>
          <w:color w:val="1F6FB5"/>
          <w:sz w:val="20"/>
        </w:rPr>
        <w:t>Likely interview questions this answers:</w:t>
      </w:r>
    </w:p>
    <w:p>
      <w:r>
        <w:rPr>
          <w:rFonts w:ascii="Calibri" w:hAnsi="Calibri"/>
          <w:b w:val="0"/>
          <w:i/>
          <w:color w:val="555B66"/>
          <w:sz w:val="22"/>
        </w:rPr>
        <w:t>Tell me about a surprising insight · Tell me about a time the data contradicted your hypothesis</w:t>
      </w:r>
    </w:p>
    <w:p>
      <w:r>
        <w:rPr>
          <w:rFonts w:ascii="Calibri" w:hAnsi="Calibri"/>
          <w:b/>
          <w:i w:val="0"/>
          <w:color w:val="1F6FB5"/>
          <w:sz w:val="20"/>
        </w:rPr>
        <w:t>SITUATION</w:t>
      </w:r>
    </w:p>
    <w:p>
      <w:r>
        <w:rPr>
          <w:rFonts w:ascii="Calibri" w:hAnsi="Calibri"/>
          <w:b w:val="0"/>
          <w:i w:val="0"/>
          <w:sz w:val="22"/>
        </w:rPr>
        <w:t>Early in the project, I'd hypothesized — based on standard retail playbooks — that customers who made a 2nd purchase within 30 days would have roughly 3× the lifetime value of one-time buyers.</w:t>
      </w:r>
    </w:p>
    <w:p>
      <w:r>
        <w:rPr>
          <w:rFonts w:ascii="Calibri" w:hAnsi="Calibri"/>
          <w:b/>
          <w:i w:val="0"/>
          <w:color w:val="1F6FB5"/>
          <w:sz w:val="20"/>
        </w:rPr>
        <w:t>TASK</w:t>
      </w:r>
    </w:p>
    <w:p>
      <w:r>
        <w:rPr>
          <w:rFonts w:ascii="Calibri" w:hAnsi="Calibri"/>
          <w:b w:val="0"/>
          <w:i w:val="0"/>
          <w:sz w:val="22"/>
        </w:rPr>
        <w:t>I needed to validate or reject that hypothesis with the actual data to decide whether a 30-day nurture program was worth building.</w:t>
      </w:r>
    </w:p>
    <w:p>
      <w:r>
        <w:rPr>
          <w:rFonts w:ascii="Calibri" w:hAnsi="Calibri"/>
          <w:b/>
          <w:i w:val="0"/>
          <w:color w:val="1F6FB5"/>
          <w:sz w:val="20"/>
        </w:rPr>
        <w:t>ACTION</w:t>
      </w:r>
    </w:p>
    <w:p>
      <w:r>
        <w:rPr>
          <w:rFonts w:ascii="Calibri" w:hAnsi="Calibri"/>
          <w:b w:val="0"/>
          <w:i w:val="0"/>
          <w:sz w:val="22"/>
        </w:rPr>
        <w:t>I segmented the 4,338-customer base by repeat behavior: Fast (≤30 days to 2nd purchase), Slow (&gt;30 days), Never repeated. Then I computed average historical CLV per cohort. The result was £4,892 for Fast, £1,869 for Slow, £411 for Never.</w:t>
      </w:r>
    </w:p>
    <w:p>
      <w:r>
        <w:rPr>
          <w:rFonts w:ascii="Calibri" w:hAnsi="Calibri"/>
          <w:b/>
          <w:i w:val="0"/>
          <w:color w:val="1F6FB5"/>
          <w:sz w:val="20"/>
        </w:rPr>
        <w:t>RESULT</w:t>
      </w:r>
    </w:p>
    <w:p>
      <w:r>
        <w:rPr>
          <w:rFonts w:ascii="Calibri" w:hAnsi="Calibri"/>
          <w:b w:val="0"/>
          <w:i w:val="0"/>
          <w:sz w:val="22"/>
        </w:rPr>
        <w:t>Fast 2nd-buyers had 11.9× the CLV of never-repeaters — almost 4× stronger than my predicted 3×. That one finding turned the 30-day nurture program from a 'nice to have' into the highest-leverage CRM intervention in the project. The back-of-envelope economics: shifting 100 one-timers into the Fast cohort = ~£448k incremental annual revenue. Being wrong by 4× was the most useful moment in the entire engagement.</w:t>
      </w:r>
    </w:p>
    <w:p/>
    <w:p>
      <w:pPr>
        <w:pStyle w:val="Heading2"/>
      </w:pPr>
      <w:r>
        <w:rPr>
          <w:rFonts w:ascii="Calibri" w:hAnsi="Calibri"/>
          <w:color w:val="0B2A4A"/>
        </w:rPr>
        <w:t>Story 3 — Data quality judgment call</w:t>
      </w:r>
    </w:p>
    <w:p>
      <w:r>
        <w:rPr>
          <w:rFonts w:ascii="Calibri" w:hAnsi="Calibri"/>
          <w:b/>
          <w:i w:val="0"/>
          <w:color w:val="1F6FB5"/>
          <w:sz w:val="20"/>
        </w:rPr>
        <w:t>Likely interview questions this answers:</w:t>
      </w:r>
    </w:p>
    <w:p>
      <w:r>
        <w:rPr>
          <w:rFonts w:ascii="Calibri" w:hAnsi="Calibri"/>
          <w:b w:val="0"/>
          <w:i/>
          <w:color w:val="555B66"/>
          <w:sz w:val="22"/>
        </w:rPr>
        <w:t>Tell me about a time you had to make a judgment call on data · Tell me about a time you defended a controversial decision</w:t>
      </w:r>
    </w:p>
    <w:p>
      <w:r>
        <w:rPr>
          <w:rFonts w:ascii="Calibri" w:hAnsi="Calibri"/>
          <w:b/>
          <w:i w:val="0"/>
          <w:color w:val="1F6FB5"/>
          <w:sz w:val="20"/>
        </w:rPr>
        <w:t>SITUATION</w:t>
      </w:r>
    </w:p>
    <w:p>
      <w:r>
        <w:rPr>
          <w:rFonts w:ascii="Calibri" w:hAnsi="Calibri"/>
          <w:b w:val="0"/>
          <w:i w:val="0"/>
          <w:sz w:val="22"/>
        </w:rPr>
        <w:t>The raw dataset was 541,909 transactions across 38 countries. When I ran initial quality checks, the Quantity column had a range of -80,995 to +80,995 units per order line.</w:t>
      </w:r>
    </w:p>
    <w:p>
      <w:r>
        <w:rPr>
          <w:rFonts w:ascii="Calibri" w:hAnsi="Calibri"/>
          <w:b/>
          <w:i w:val="0"/>
          <w:color w:val="1F6FB5"/>
          <w:sz w:val="20"/>
        </w:rPr>
        <w:t>TASK</w:t>
      </w:r>
    </w:p>
    <w:p>
      <w:r>
        <w:rPr>
          <w:rFonts w:ascii="Calibri" w:hAnsi="Calibri"/>
          <w:b w:val="0"/>
          <w:i w:val="0"/>
          <w:sz w:val="22"/>
        </w:rPr>
        <w:t>Standard data-science practice would flag those extreme values as outliers and remove them. I had to decide whether to follow that default or to dig deeper.</w:t>
      </w:r>
    </w:p>
    <w:p>
      <w:r>
        <w:rPr>
          <w:rFonts w:ascii="Calibri" w:hAnsi="Calibri"/>
          <w:b/>
          <w:i w:val="0"/>
          <w:color w:val="1F6FB5"/>
          <w:sz w:val="20"/>
        </w:rPr>
        <w:t>ACTION</w:t>
      </w:r>
    </w:p>
    <w:p>
      <w:r>
        <w:rPr>
          <w:rFonts w:ascii="Calibri" w:hAnsi="Calibri"/>
          <w:b w:val="0"/>
          <w:i w:val="0"/>
          <w:sz w:val="22"/>
        </w:rPr>
        <w:t>I traced the extreme rows back to specific InvoiceNos and CustomerIDs. Most of them were paired — a +80,995 order followed by a -80,995 cancellation on the same customer. These weren't data errors; they were real B2B-scale orders that occasionally got cancelled. Removing them would have erased the most valuable customers from the analysis. Instead, I kept them and documented the decision: extreme quantities are signal, not noise. Later in Phase 6, those same customers landed in an ML cluster I named 'VIP B2B Accounts' — 689 customers (16% of base) driving 60% of revenue.</w:t>
      </w:r>
    </w:p>
    <w:p>
      <w:r>
        <w:rPr>
          <w:rFonts w:ascii="Calibri" w:hAnsi="Calibri"/>
          <w:b/>
          <w:i w:val="0"/>
          <w:color w:val="1F6FB5"/>
          <w:sz w:val="20"/>
        </w:rPr>
        <w:t>RESULT</w:t>
      </w:r>
    </w:p>
    <w:p>
      <w:r>
        <w:rPr>
          <w:rFonts w:ascii="Calibri" w:hAnsi="Calibri"/>
          <w:b w:val="0"/>
          <w:i w:val="0"/>
          <w:sz w:val="22"/>
        </w:rPr>
        <w:t>If I'd followed the default outlier-removal step, the entire CRM strategy would have under-served the segment that drives the majority of the business. The lesson I anchor on: outliers ≠ errors. Always interrogate before you trim.</w:t>
      </w:r>
    </w:p>
    <w:p/>
    <w:p>
      <w:pPr>
        <w:pStyle w:val="Heading2"/>
      </w:pPr>
      <w:r>
        <w:rPr>
          <w:rFonts w:ascii="Calibri" w:hAnsi="Calibri"/>
          <w:color w:val="0B2A4A"/>
        </w:rPr>
        <w:t>Story 4 — Designing for failure modes (AI / LLM)</w:t>
      </w:r>
    </w:p>
    <w:p>
      <w:r>
        <w:rPr>
          <w:rFonts w:ascii="Calibri" w:hAnsi="Calibri"/>
          <w:b/>
          <w:i w:val="0"/>
          <w:color w:val="1F6FB5"/>
          <w:sz w:val="20"/>
        </w:rPr>
        <w:t>Likely interview questions this answers:</w:t>
      </w:r>
    </w:p>
    <w:p>
      <w:r>
        <w:rPr>
          <w:rFonts w:ascii="Calibri" w:hAnsi="Calibri"/>
          <w:b w:val="0"/>
          <w:i/>
          <w:color w:val="555B66"/>
          <w:sz w:val="22"/>
        </w:rPr>
        <w:t>Tell me about a time you designed for failure · How do you handle LLM hallucination?</w:t>
      </w:r>
    </w:p>
    <w:p>
      <w:r>
        <w:rPr>
          <w:rFonts w:ascii="Calibri" w:hAnsi="Calibri"/>
          <w:b/>
          <w:i w:val="0"/>
          <w:color w:val="1F6FB5"/>
          <w:sz w:val="20"/>
        </w:rPr>
        <w:t>SITUATION</w:t>
      </w:r>
    </w:p>
    <w:p>
      <w:r>
        <w:rPr>
          <w:rFonts w:ascii="Calibri" w:hAnsi="Calibri"/>
          <w:b w:val="0"/>
          <w:i w:val="0"/>
          <w:sz w:val="22"/>
        </w:rPr>
        <w:t>I was designing an AI Marketing Insights Agent on top of an ML customer segmentation. The agent's job was to produce CMO-readable executive briefs about each customer persona, including specific £-figures.</w:t>
      </w:r>
    </w:p>
    <w:p>
      <w:r>
        <w:rPr>
          <w:rFonts w:ascii="Calibri" w:hAnsi="Calibri"/>
          <w:b/>
          <w:i w:val="0"/>
          <w:color w:val="1F6FB5"/>
          <w:sz w:val="20"/>
        </w:rPr>
        <w:t>TASK</w:t>
      </w:r>
    </w:p>
    <w:p>
      <w:r>
        <w:rPr>
          <w:rFonts w:ascii="Calibri" w:hAnsi="Calibri"/>
          <w:b w:val="0"/>
          <w:i w:val="0"/>
          <w:sz w:val="22"/>
        </w:rPr>
        <w:t>The standard LLM failure mode is hallucinated numbers — the model invents plausible-but-wrong figures, especially when asked to summarize structured data. For an executive-facing tool, that's a credibility-destroying failure.</w:t>
      </w:r>
    </w:p>
    <w:p>
      <w:r>
        <w:rPr>
          <w:rFonts w:ascii="Calibri" w:hAnsi="Calibri"/>
          <w:b/>
          <w:i w:val="0"/>
          <w:color w:val="1F6FB5"/>
          <w:sz w:val="20"/>
        </w:rPr>
        <w:t>ACTION</w:t>
      </w:r>
    </w:p>
    <w:p>
      <w:r>
        <w:rPr>
          <w:rFonts w:ascii="Calibri" w:hAnsi="Calibri"/>
          <w:b w:val="0"/>
          <w:i w:val="0"/>
          <w:sz w:val="22"/>
        </w:rPr>
        <w:t>I architected the system around one principle: 'The LLM renders. It does not decide.' Every numerical claim (revenue share, customer counts, average CLV, churn alerts) is pre-computed by deterministic, data-grounded tools. The LLM only receives structured dicts as input and renders them into narrative. I added an output validator that rejects any £-figure the LLM produces if it isn't present in the structured input. The system also fails-closed to a deterministic renderer if validation fails.</w:t>
      </w:r>
    </w:p>
    <w:p>
      <w:r>
        <w:rPr>
          <w:rFonts w:ascii="Calibri" w:hAnsi="Calibri"/>
          <w:b/>
          <w:i w:val="0"/>
          <w:color w:val="1F6FB5"/>
          <w:sz w:val="20"/>
        </w:rPr>
        <w:t>RESULT</w:t>
      </w:r>
    </w:p>
    <w:p>
      <w:r>
        <w:rPr>
          <w:rFonts w:ascii="Calibri" w:hAnsi="Calibri"/>
          <w:b w:val="0"/>
          <w:i w:val="0"/>
          <w:sz w:val="22"/>
        </w:rPr>
        <w:t>Hallucination was eliminated as a failure mode by construction, not by hoping. The prototype generates per-persona briefs, churn alerts, and revenue-opportunity maps in seconds, with every claim auditable to a tool input. The same architecture is one-function-swap away from a live LLM deployment.</w:t>
      </w:r>
    </w:p>
    <w:p/>
    <w:p>
      <w:pPr>
        <w:pStyle w:val="Heading2"/>
      </w:pPr>
      <w:r>
        <w:rPr>
          <w:rFonts w:ascii="Calibri" w:hAnsi="Calibri"/>
          <w:color w:val="0B2A4A"/>
        </w:rPr>
        <w:t>Story 5 — Interpretability vs. accuracy trade-off (ML)</w:t>
      </w:r>
    </w:p>
    <w:p>
      <w:r>
        <w:rPr>
          <w:rFonts w:ascii="Calibri" w:hAnsi="Calibri"/>
          <w:b/>
          <w:i w:val="0"/>
          <w:color w:val="1F6FB5"/>
          <w:sz w:val="20"/>
        </w:rPr>
        <w:t>Likely interview questions this answers:</w:t>
      </w:r>
    </w:p>
    <w:p>
      <w:r>
        <w:rPr>
          <w:rFonts w:ascii="Calibri" w:hAnsi="Calibri"/>
          <w:b w:val="0"/>
          <w:i/>
          <w:color w:val="555B66"/>
          <w:sz w:val="22"/>
        </w:rPr>
        <w:t>Tell me about a time you chose interpretability over accuracy · How do you pick K in K-means?</w:t>
      </w:r>
    </w:p>
    <w:p>
      <w:r>
        <w:rPr>
          <w:rFonts w:ascii="Calibri" w:hAnsi="Calibri"/>
          <w:b/>
          <w:i w:val="0"/>
          <w:color w:val="1F6FB5"/>
          <w:sz w:val="20"/>
        </w:rPr>
        <w:t>SITUATION</w:t>
      </w:r>
    </w:p>
    <w:p>
      <w:r>
        <w:rPr>
          <w:rFonts w:ascii="Calibri" w:hAnsi="Calibri"/>
          <w:b w:val="0"/>
          <w:i w:val="0"/>
          <w:sz w:val="22"/>
        </w:rPr>
        <w:t>I was building an ML customer segmentation using K-means on log-transformed RFM + behavioral features for a 4,338-customer base.</w:t>
      </w:r>
    </w:p>
    <w:p>
      <w:r>
        <w:rPr>
          <w:rFonts w:ascii="Calibri" w:hAnsi="Calibri"/>
          <w:b/>
          <w:i w:val="0"/>
          <w:color w:val="1F6FB5"/>
          <w:sz w:val="20"/>
        </w:rPr>
        <w:t>TASK</w:t>
      </w:r>
    </w:p>
    <w:p>
      <w:r>
        <w:rPr>
          <w:rFonts w:ascii="Calibri" w:hAnsi="Calibri"/>
          <w:b w:val="0"/>
          <w:i w:val="0"/>
          <w:sz w:val="22"/>
        </w:rPr>
        <w:t>I needed to choose K. The elbow-and-silhouette diagnostics gave conflicting signals — K=2 had the highest silhouette, while K=5 sat near the elbow with a moderate silhouette of 0.279.</w:t>
      </w:r>
    </w:p>
    <w:p>
      <w:r>
        <w:rPr>
          <w:rFonts w:ascii="Calibri" w:hAnsi="Calibri"/>
          <w:b/>
          <w:i w:val="0"/>
          <w:color w:val="1F6FB5"/>
          <w:sz w:val="20"/>
        </w:rPr>
        <w:t>ACTION</w:t>
      </w:r>
    </w:p>
    <w:p>
      <w:r>
        <w:rPr>
          <w:rFonts w:ascii="Calibri" w:hAnsi="Calibri"/>
          <w:b w:val="0"/>
          <w:i w:val="0"/>
          <w:sz w:val="22"/>
        </w:rPr>
        <w:t>I tested both. K=2 collapsed the entire valuable customer base into one undifferentiated 'high-value blob' — there was no actionable separation between Champions, Loyal customers, and B2B accounts. From a CMO perspective, the K=2 output was unusable. K=5 produced 5 distinct personas, each with a clear behavioral fingerprint: VIP B2B Accounts, Loyal Repeat Buyers, Engaged New Buyers, Casual Low-Value Buyers, Dormant Former Buyers. I chose K=5 and explicitly documented the trade-off: I was rejecting the algorithmically-optimal solution in favor of the business-readable one.</w:t>
      </w:r>
    </w:p>
    <w:p>
      <w:r>
        <w:rPr>
          <w:rFonts w:ascii="Calibri" w:hAnsi="Calibri"/>
          <w:b/>
          <w:i w:val="0"/>
          <w:color w:val="1F6FB5"/>
          <w:sz w:val="20"/>
        </w:rPr>
        <w:t>RESULT</w:t>
      </w:r>
    </w:p>
    <w:p>
      <w:r>
        <w:rPr>
          <w:rFonts w:ascii="Calibri" w:hAnsi="Calibri"/>
          <w:b w:val="0"/>
          <w:i w:val="0"/>
          <w:sz w:val="22"/>
        </w:rPr>
        <w:t>Each of the 5 personas got a named marketing campaign, channel, and budget priority. The PPTX deck went straight to stakeholder distribution without needing additional interpretation. The principle I anchor on: the right K isn't the K that maximizes silhouette. It's the K that produces personas you can build campaigns around.</w:t>
      </w:r>
    </w:p>
    <w:p/>
    <w:p>
      <w:pPr>
        <w:pStyle w:val="Heading2"/>
      </w:pPr>
      <w:r>
        <w:rPr>
          <w:rFonts w:ascii="Calibri" w:hAnsi="Calibri"/>
          <w:color w:val="0B2A4A"/>
        </w:rPr>
        <w:t>Story 6 — Recommending against a stakeholder request</w:t>
      </w:r>
    </w:p>
    <w:p>
      <w:r>
        <w:rPr>
          <w:rFonts w:ascii="Calibri" w:hAnsi="Calibri"/>
          <w:b/>
          <w:i w:val="0"/>
          <w:color w:val="1F6FB5"/>
          <w:sz w:val="20"/>
        </w:rPr>
        <w:t>Likely interview questions this answers:</w:t>
      </w:r>
    </w:p>
    <w:p>
      <w:r>
        <w:rPr>
          <w:rFonts w:ascii="Calibri" w:hAnsi="Calibri"/>
          <w:b w:val="0"/>
          <w:i/>
          <w:color w:val="555B66"/>
          <w:sz w:val="22"/>
        </w:rPr>
        <w:t>Tell me about a time you pushed back on a stakeholder · Tell me about a budget recommendation that changed your team's plan</w:t>
      </w:r>
    </w:p>
    <w:p>
      <w:r>
        <w:rPr>
          <w:rFonts w:ascii="Calibri" w:hAnsi="Calibri"/>
          <w:b/>
          <w:i w:val="0"/>
          <w:color w:val="1F6FB5"/>
          <w:sz w:val="20"/>
        </w:rPr>
        <w:t>SITUATION</w:t>
      </w:r>
    </w:p>
    <w:p>
      <w:r>
        <w:rPr>
          <w:rFonts w:ascii="Calibri" w:hAnsi="Calibri"/>
          <w:b w:val="0"/>
          <w:i w:val="0"/>
          <w:sz w:val="22"/>
        </w:rPr>
        <w:t>During the RFM segmentation phase, the standard CRM playbook would treat the 'Hibernating' segment (753 customers · lowest engagement) as a high-value reactivation opportunity — the typical 'we miss you' campaign.</w:t>
      </w:r>
    </w:p>
    <w:p>
      <w:r>
        <w:rPr>
          <w:rFonts w:ascii="Calibri" w:hAnsi="Calibri"/>
          <w:b/>
          <w:i w:val="0"/>
          <w:color w:val="1F6FB5"/>
          <w:sz w:val="20"/>
        </w:rPr>
        <w:t>TASK</w:t>
      </w:r>
    </w:p>
    <w:p>
      <w:r>
        <w:rPr>
          <w:rFonts w:ascii="Calibri" w:hAnsi="Calibri"/>
          <w:b w:val="0"/>
          <w:i w:val="0"/>
          <w:sz w:val="22"/>
        </w:rPr>
        <w:t>I needed to recommend Q1 budget allocation across all 9 segments. The default would have been to allocate significant spend to Hibernating reactivation.</w:t>
      </w:r>
    </w:p>
    <w:p>
      <w:r>
        <w:rPr>
          <w:rFonts w:ascii="Calibri" w:hAnsi="Calibri"/>
          <w:b/>
          <w:i w:val="0"/>
          <w:color w:val="1F6FB5"/>
          <w:sz w:val="20"/>
        </w:rPr>
        <w:t>ACTION</w:t>
      </w:r>
    </w:p>
    <w:p>
      <w:r>
        <w:rPr>
          <w:rFonts w:ascii="Calibri" w:hAnsi="Calibri"/>
          <w:b w:val="0"/>
          <w:i w:val="0"/>
          <w:sz w:val="22"/>
        </w:rPr>
        <w:t>I ran the segment economics. Hibernating customers had avg historical monetary of £610 and 168-day avg recency — reactivation economics that don't clear the ROI bar. Meanwhile, the 'Cannot Lose Them' segment (285 customers · avg historical monetary £1,590 · dormant ~110 days) had 2.6× the per-customer value and a much higher recovery probability given their proven loyalty history. I recommended reallocating reactivation budget away from Hibernating and toward Cannot Lose Them, plus shifting the engagement model from bulk-email to account-manager outreach for the top tier.</w:t>
      </w:r>
    </w:p>
    <w:p>
      <w:r>
        <w:rPr>
          <w:rFonts w:ascii="Calibri" w:hAnsi="Calibri"/>
          <w:b/>
          <w:i w:val="0"/>
          <w:color w:val="1F6FB5"/>
          <w:sz w:val="20"/>
        </w:rPr>
        <w:t>RESULT</w:t>
      </w:r>
    </w:p>
    <w:p>
      <w:r>
        <w:rPr>
          <w:rFonts w:ascii="Calibri" w:hAnsi="Calibri"/>
          <w:b w:val="0"/>
          <w:i w:val="0"/>
          <w:sz w:val="22"/>
        </w:rPr>
        <w:t>Same total budget, fundamentally different yield. The recommendation was tied to a specific recoverable pool (1,170 customers · £1.06M historical revenue · 11.9% of total revenue) and a specific intervention design. The principle: same money doesn't mean same impact — segment-level economics dictate where it should go.</w:t>
      </w:r>
    </w:p>
    <w:p/>
    <w:p>
      <w:pPr>
        <w:pStyle w:val="Heading2"/>
      </w:pPr>
      <w:r>
        <w:rPr>
          <w:rFonts w:ascii="Calibri" w:hAnsi="Calibri"/>
          <w:color w:val="0B2A4A"/>
        </w:rPr>
        <w:t>Story 7 — Communicating complex analytics to non-technical stakeholders</w:t>
      </w:r>
    </w:p>
    <w:p>
      <w:r>
        <w:rPr>
          <w:rFonts w:ascii="Calibri" w:hAnsi="Calibri"/>
          <w:b/>
          <w:i w:val="0"/>
          <w:color w:val="1F6FB5"/>
          <w:sz w:val="20"/>
        </w:rPr>
        <w:t>Likely interview questions this answers:</w:t>
      </w:r>
    </w:p>
    <w:p>
      <w:r>
        <w:rPr>
          <w:rFonts w:ascii="Calibri" w:hAnsi="Calibri"/>
          <w:b w:val="0"/>
          <w:i/>
          <w:color w:val="555B66"/>
          <w:sz w:val="22"/>
        </w:rPr>
        <w:t>Tell me about a time you presented to executives · How do you communicate technical work?</w:t>
      </w:r>
    </w:p>
    <w:p>
      <w:r>
        <w:rPr>
          <w:rFonts w:ascii="Calibri" w:hAnsi="Calibri"/>
          <w:b/>
          <w:i w:val="0"/>
          <w:color w:val="1F6FB5"/>
          <w:sz w:val="20"/>
        </w:rPr>
        <w:t>SITUATION</w:t>
      </w:r>
    </w:p>
    <w:p>
      <w:r>
        <w:rPr>
          <w:rFonts w:ascii="Calibri" w:hAnsi="Calibri"/>
          <w:b w:val="0"/>
          <w:i w:val="0"/>
          <w:sz w:val="22"/>
        </w:rPr>
        <w:t>By the end of the project I had 22 hero charts, 6 notebooks, an ML clustering model, an Agentic AI system, and a 9-segment RFM playbook. The CMO had 30 minutes.</w:t>
      </w:r>
    </w:p>
    <w:p>
      <w:r>
        <w:rPr>
          <w:rFonts w:ascii="Calibri" w:hAnsi="Calibri"/>
          <w:b/>
          <w:i w:val="0"/>
          <w:color w:val="1F6FB5"/>
          <w:sz w:val="20"/>
        </w:rPr>
        <w:t>TASK</w:t>
      </w:r>
    </w:p>
    <w:p>
      <w:r>
        <w:rPr>
          <w:rFonts w:ascii="Calibri" w:hAnsi="Calibri"/>
          <w:b w:val="0"/>
          <w:i w:val="0"/>
          <w:sz w:val="22"/>
        </w:rPr>
        <w:t>I needed to produce a stakeholder artifact that a CMO could read in 90 seconds, a CRM Manager in 5 minutes, and a Marketing Ops lead in 15 — all from the same document.</w:t>
      </w:r>
    </w:p>
    <w:p>
      <w:r>
        <w:rPr>
          <w:rFonts w:ascii="Calibri" w:hAnsi="Calibri"/>
          <w:b/>
          <w:i w:val="0"/>
          <w:color w:val="1F6FB5"/>
          <w:sz w:val="20"/>
        </w:rPr>
        <w:t>ACTION</w:t>
      </w:r>
    </w:p>
    <w:p>
      <w:r>
        <w:rPr>
          <w:rFonts w:ascii="Calibri" w:hAnsi="Calibri"/>
          <w:b w:val="0"/>
          <w:i w:val="0"/>
          <w:sz w:val="22"/>
        </w:rPr>
        <w:t>I built a 13-slide PPTX executive segmentation deck with a layered structure: Slide 2 was the 'three things to take away' page (CMO-level). Slides 8-12 were per-persona campaign cards with named action, channel, and budget priority (CRM Manager-level). Slide 13 was a Q1 budget allocation table with explicit per-persona rationale (Marketing Ops-level). Every chart had a one-line business-interpretation caption. No jargon. No methodological detours.</w:t>
      </w:r>
    </w:p>
    <w:p>
      <w:r>
        <w:rPr>
          <w:rFonts w:ascii="Calibri" w:hAnsi="Calibri"/>
          <w:b/>
          <w:i w:val="0"/>
          <w:color w:val="1F6FB5"/>
          <w:sz w:val="20"/>
        </w:rPr>
        <w:t>RESULT</w:t>
      </w:r>
    </w:p>
    <w:p>
      <w:r>
        <w:rPr>
          <w:rFonts w:ascii="Calibri" w:hAnsi="Calibri"/>
          <w:b w:val="0"/>
          <w:i w:val="0"/>
          <w:sz w:val="22"/>
        </w:rPr>
        <w:t>The deck went straight to stakeholder distribution. Same artifact serves multiple audiences at multiple depths — a CMO can leave after slide 2 with the strategic answer, a CRM Manager can stay through slide 12 with operational detail. The discipline I anchor on: presentation structure should mirror stakeholder depth, not narrative chronology.</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