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6FB5"/>
          <w:sz w:val="22"/>
        </w:rPr>
        <w:t>MASTER PORTFOLIO DOCUMENT · v1.0</w:t>
      </w:r>
    </w:p>
    <w:p>
      <w:r>
        <w:rPr>
          <w:rFonts w:ascii="Calibri" w:hAnsi="Calibri"/>
          <w:b/>
          <w:color w:val="0B2A4A"/>
          <w:sz w:val="52"/>
        </w:rPr>
        <w:t>Customer Segmentation &amp; CRM Intelligence Platform</w:t>
      </w:r>
    </w:p>
    <w:p>
      <w:r>
        <w:rPr>
          <w:rFonts w:ascii="Calibri" w:hAnsi="Calibri"/>
          <w:b w:val="0"/>
          <w:i/>
          <w:color w:val="555B66"/>
          <w:sz w:val="24"/>
        </w:rPr>
        <w:t>A consulting-grade end-to-end portfolio — business framing → analytics → ML → Agentic AI → application package</w:t>
      </w:r>
    </w:p>
    <w:p>
      <w:r>
        <w:rPr>
          <w:rFonts w:ascii="Calibri" w:hAnsi="Calibri"/>
          <w:b w:val="0"/>
          <w:i w:val="0"/>
          <w:color w:val="555B66"/>
          <w:sz w:val="20"/>
        </w:rPr>
        <w:t>Avelabs application track · Data Analyst / Data Scientist</w:t>
      </w:r>
    </w:p>
    <w:p/>
    <w:p>
      <w:pPr>
        <w:pStyle w:val="Heading1"/>
      </w:pPr>
      <w:r>
        <w:rPr>
          <w:rFonts w:ascii="Calibri" w:hAnsi="Calibri"/>
          <w:color w:val="0B2A4A"/>
        </w:rPr>
        <w:t>1. Executive Summary</w:t>
      </w:r>
    </w:p>
    <w:p>
      <w:r>
        <w:rPr>
          <w:rFonts w:ascii="Calibri" w:hAnsi="Calibri"/>
          <w:b w:val="0"/>
          <w:i w:val="0"/>
          <w:sz w:val="22"/>
        </w:rPr>
        <w:t>A 9-phase end-to-end CRM analytics + Agentic AI project built on the UCI Online Retail dataset (541,909 transactions · 38 countries · 4,338 customers · £8.89M cleaned revenue). The project is intentionally structured as a simulated consulting engagement with stakeholders, KPIs, hypothesis register, and decision-system thinking — not a coding exercise.</w:t>
      </w:r>
    </w:p>
    <w:p>
      <w:r>
        <w:rPr>
          <w:rFonts w:ascii="Calibri" w:hAnsi="Calibri"/>
          <w:b/>
          <w:i w:val="0"/>
          <w:sz w:val="22"/>
        </w:rPr>
        <w:t>Five headline outcomes:</w:t>
      </w:r>
    </w:p>
    <w:p>
      <w:pPr>
        <w:pStyle w:val="ListBullet"/>
      </w:pPr>
      <w:r>
        <w:rPr>
          <w:rFonts w:ascii="Calibri" w:hAnsi="Calibri"/>
          <w:sz w:val="22"/>
        </w:rPr>
        <w:t>Re-framed the engagement from "customer acquisition" to "customer intelligence" after Lorenz-curve analysis: top 20% drive 75% of revenue (Gini 0.72).</w:t>
      </w:r>
    </w:p>
    <w:p>
      <w:pPr>
        <w:pStyle w:val="ListBullet"/>
      </w:pPr>
      <w:r>
        <w:rPr>
          <w:rFonts w:ascii="Calibri" w:hAnsi="Calibri"/>
          <w:sz w:val="22"/>
        </w:rPr>
        <w:t>Quantified that fast 2nd-purchasers have 11.9× the CLV of one-time buyers (£4,892 vs £411) — 4× stronger than the Phase 1 prediction of 3×.</w:t>
      </w:r>
    </w:p>
    <w:p>
      <w:pPr>
        <w:pStyle w:val="ListBullet"/>
      </w:pPr>
      <w:r>
        <w:rPr>
          <w:rFonts w:ascii="Calibri" w:hAnsi="Calibri"/>
          <w:sz w:val="22"/>
        </w:rPr>
        <w:t>Surfaced a hidden B2B segment of 689 customers (16% of base) driving 60% of revenue — 13× larger than a manual top-50 cutoff would have caught.</w:t>
      </w:r>
    </w:p>
    <w:p>
      <w:pPr>
        <w:pStyle w:val="ListBullet"/>
      </w:pPr>
      <w:r>
        <w:rPr>
          <w:rFonts w:ascii="Calibri" w:hAnsi="Calibri"/>
          <w:sz w:val="22"/>
        </w:rPr>
        <w:t>Quantified a £1.06M recoverable revenue pool in 1,170 dormant-but-previously-loyal customers (At Risk + Cannot Lose Them tiers).</w:t>
      </w:r>
    </w:p>
    <w:p>
      <w:pPr>
        <w:pStyle w:val="ListBullet"/>
      </w:pPr>
      <w:r>
        <w:rPr>
          <w:rFonts w:ascii="Calibri" w:hAnsi="Calibri"/>
          <w:sz w:val="22"/>
        </w:rPr>
        <w:t>Designed and prototyped an Agentic AI Marketing Insights system: 4 deterministic data-grounded tools + LLM rendering layer; hallucination eliminated by construction.</w:t>
      </w:r>
    </w:p>
    <w:p>
      <w:pPr>
        <w:pStyle w:val="Heading1"/>
      </w:pPr>
      <w:r>
        <w:rPr>
          <w:rFonts w:ascii="Calibri" w:hAnsi="Calibri"/>
          <w:color w:val="0B2A4A"/>
        </w:rPr>
        <w:t>2. Methodology — 9 Phases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B2A4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Phase</w:t>
            </w:r>
          </w:p>
        </w:tc>
        <w:tc>
          <w:tcPr>
            <w:tcW w:type="dxa" w:w="2436"/>
            <w:shd w:val="clear" w:color="auto" w:fill="0B2A4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Objective</w:t>
            </w:r>
          </w:p>
        </w:tc>
        <w:tc>
          <w:tcPr>
            <w:tcW w:type="dxa" w:w="2436"/>
            <w:shd w:val="clear" w:color="auto" w:fill="0B2A4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Deliverable</w:t>
            </w:r>
          </w:p>
        </w:tc>
        <w:tc>
          <w:tcPr>
            <w:tcW w:type="dxa" w:w="2436"/>
            <w:shd w:val="clear" w:color="auto" w:fill="0B2A4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Key outcome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1. Business Understanding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Frame the engagement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DOCX, MD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7 hypotheses · 6 stakeholders · 12 KPIs</w:t>
            </w:r>
          </w:p>
        </w:tc>
      </w:tr>
      <w:tr>
        <w:tc>
          <w:tcPr>
            <w:tcW w:type="dxa" w:w="2436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2. Dataset Understanding</w:t>
            </w:r>
          </w:p>
        </w:tc>
        <w:tc>
          <w:tcPr>
            <w:tcW w:type="dxa" w:w="2436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Quality + dictionary</w:t>
            </w:r>
          </w:p>
        </w:tc>
        <w:tc>
          <w:tcPr>
            <w:tcW w:type="dxa" w:w="2436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Notebook, MD</w:t>
            </w:r>
          </w:p>
        </w:tc>
        <w:tc>
          <w:tcPr>
            <w:tcW w:type="dxa" w:w="2436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99.2% customer retention after cleaning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3. EDA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Validate hypotheses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Notebook, PDF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H1, H2, H4 confirmed</w:t>
            </w:r>
          </w:p>
        </w:tc>
      </w:tr>
      <w:tr>
        <w:tc>
          <w:tcPr>
            <w:tcW w:type="dxa" w:w="2436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4. Customer Analytics</w:t>
            </w:r>
          </w:p>
        </w:tc>
        <w:tc>
          <w:tcPr>
            <w:tcW w:type="dxa" w:w="2436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CLV + cohort retention</w:t>
            </w:r>
          </w:p>
        </w:tc>
        <w:tc>
          <w:tcPr>
            <w:tcW w:type="dxa" w:w="2436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Notebook</w:t>
            </w:r>
          </w:p>
        </w:tc>
        <w:tc>
          <w:tcPr>
            <w:tcW w:type="dxa" w:w="2436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H3 confirmed at 11.9×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5. RFM Analysis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9-segment CRM playbook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Notebook, MD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H5 confirmed · £1.06M recoverable pool</w:t>
            </w:r>
          </w:p>
        </w:tc>
      </w:tr>
      <w:tr>
        <w:tc>
          <w:tcPr>
            <w:tcW w:type="dxa" w:w="2436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6. ML Segmentation</w:t>
            </w:r>
          </w:p>
        </w:tc>
        <w:tc>
          <w:tcPr>
            <w:tcW w:type="dxa" w:w="2436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5-persona ML clustering</w:t>
            </w:r>
          </w:p>
        </w:tc>
        <w:tc>
          <w:tcPr>
            <w:tcW w:type="dxa" w:w="2436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Notebook, PPTX</w:t>
            </w:r>
          </w:p>
        </w:tc>
        <w:tc>
          <w:tcPr>
            <w:tcW w:type="dxa" w:w="2436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H4 expanded · VIP B2B = 60% revenue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7. AI Marketing Agent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Agentic AI prototype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Notebook, DOCX, PPTX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4 tools + LLM rendering layer</w:t>
            </w:r>
          </w:p>
        </w:tc>
      </w:tr>
      <w:tr>
        <w:tc>
          <w:tcPr>
            <w:tcW w:type="dxa" w:w="2436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8. Resume Integration</w:t>
            </w:r>
          </w:p>
        </w:tc>
        <w:tc>
          <w:tcPr>
            <w:tcW w:type="dxa" w:w="2436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Application materials</w:t>
            </w:r>
          </w:p>
        </w:tc>
        <w:tc>
          <w:tcPr>
            <w:tcW w:type="dxa" w:w="2436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5 DOCX/MD</w:t>
            </w:r>
          </w:p>
        </w:tc>
        <w:tc>
          <w:tcPr>
            <w:tcW w:type="dxa" w:w="2436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EN + KR · Avelabs-targeted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9. Final Package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Ship the application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Resume PDF, PPTX, prep kit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Recruiter-ready</w:t>
            </w:r>
          </w:p>
        </w:tc>
      </w:tr>
    </w:tbl>
    <w:p>
      <w:pPr>
        <w:pStyle w:val="Heading1"/>
      </w:pPr>
      <w:r>
        <w:rPr>
          <w:rFonts w:ascii="Calibri" w:hAnsi="Calibri"/>
          <w:color w:val="0B2A4A"/>
        </w:rPr>
        <w:t>3. Cumulative Key Findings</w:t>
      </w:r>
    </w:p>
    <w:p>
      <w:pPr>
        <w:pStyle w:val="Heading2"/>
      </w:pPr>
      <w:r>
        <w:rPr>
          <w:rFonts w:ascii="Calibri" w:hAnsi="Calibri"/>
          <w:color w:val="0B2A4A"/>
        </w:rPr>
        <w:t>3.1 Phase 2 — Data Foundation</w:t>
      </w:r>
    </w:p>
    <w:p>
      <w:pPr>
        <w:pStyle w:val="ListBullet"/>
      </w:pPr>
      <w:r>
        <w:rPr>
          <w:rFonts w:ascii="Calibri" w:hAnsi="Calibri"/>
          <w:sz w:val="22"/>
        </w:rPr>
        <w:t>541,909 raw transactions → 392,692 cleaned rows · 4,338 customers · £8.89M cleaned revenue.</w:t>
      </w:r>
    </w:p>
    <w:p>
      <w:pPr>
        <w:pStyle w:val="ListBullet"/>
      </w:pPr>
      <w:r>
        <w:rPr>
          <w:rFonts w:ascii="Calibri" w:hAnsi="Calibri"/>
          <w:sz w:val="22"/>
        </w:rPr>
        <w:t>5-step documented cleaning pipeline; 25% of raw rows are guest checkouts (no CustomerID) and are excluded from CRM analytics.</w:t>
      </w:r>
    </w:p>
    <w:p>
      <w:pPr>
        <w:pStyle w:val="Heading2"/>
      </w:pPr>
      <w:r>
        <w:rPr>
          <w:rFonts w:ascii="Calibri" w:hAnsi="Calibri"/>
          <w:color w:val="0B2A4A"/>
        </w:rPr>
        <w:t>3.2 Phase 3 — EDA Findings</w:t>
      </w:r>
    </w:p>
    <w:p>
      <w:pPr>
        <w:pStyle w:val="ListBullet"/>
      </w:pPr>
      <w:r>
        <w:rPr>
          <w:rFonts w:ascii="Calibri" w:hAnsi="Calibri"/>
          <w:sz w:val="22"/>
        </w:rPr>
        <w:t>H1 ✅ — Top 20% of customers drive 75% of revenue (Gini 0.72). Top 1% alone = 31.8%.</w:t>
      </w:r>
    </w:p>
    <w:p>
      <w:pPr>
        <w:pStyle w:val="ListBullet"/>
      </w:pPr>
      <w:r>
        <w:rPr>
          <w:rFonts w:ascii="Calibri" w:hAnsi="Calibri"/>
          <w:sz w:val="22"/>
        </w:rPr>
        <w:t>H2 ✅ — International AOV (£850) is 1.9× UK AOV (£438); international is 18% of revenue across 1,886 invoices.</w:t>
      </w:r>
    </w:p>
    <w:p>
      <w:pPr>
        <w:pStyle w:val="ListBullet"/>
      </w:pPr>
      <w:r>
        <w:rPr>
          <w:rFonts w:ascii="Calibri" w:hAnsi="Calibri"/>
          <w:sz w:val="22"/>
        </w:rPr>
        <w:t>H4 ✅ — Top 50 customers contribute 33% of revenue at 41 orders/customer (hidden B2B inside a B2C dataset).</w:t>
      </w:r>
    </w:p>
    <w:p>
      <w:pPr>
        <w:pStyle w:val="ListBullet"/>
      </w:pPr>
      <w:r>
        <w:rPr>
          <w:rFonts w:ascii="Calibri" w:hAnsi="Calibri"/>
          <w:sz w:val="22"/>
        </w:rPr>
        <w:t>H6 directional — Q4 (Sep-Nov) dominates seasonality; Nov 2011 peak is ~1.7× a typical Q1 month.</w:t>
      </w:r>
    </w:p>
    <w:p>
      <w:pPr>
        <w:pStyle w:val="Heading2"/>
      </w:pPr>
      <w:r>
        <w:rPr>
          <w:rFonts w:ascii="Calibri" w:hAnsi="Calibri"/>
          <w:color w:val="0B2A4A"/>
        </w:rPr>
        <w:t>3.3 Phase 4 — Customer Analytics</w:t>
      </w:r>
    </w:p>
    <w:p>
      <w:pPr>
        <w:pStyle w:val="ListBullet"/>
      </w:pPr>
      <w:r>
        <w:rPr>
          <w:rFonts w:ascii="Calibri" w:hAnsi="Calibri"/>
          <w:sz w:val="22"/>
        </w:rPr>
        <w:t>H3 ✅ — Fast 2nd-buyers (≤30 days) have 11.9× the CLV of never-repeaters (£4,892 vs £411). Predicted 3×, observed 11.9×.</w:t>
      </w:r>
    </w:p>
    <w:p>
      <w:pPr>
        <w:pStyle w:val="ListBullet"/>
      </w:pPr>
      <w:r>
        <w:rPr>
          <w:rFonts w:ascii="Calibri" w:hAnsi="Calibri"/>
          <w:sz w:val="22"/>
        </w:rPr>
        <w:t>H6 retention ✅ — Dec 2010 cohort decays 100% → 38% (m3) → 27% (m12). Counter-intuitively retains BETTER than 2011 cohorts.</w:t>
      </w:r>
    </w:p>
    <w:p>
      <w:pPr>
        <w:pStyle w:val="ListBullet"/>
      </w:pPr>
      <w:r>
        <w:rPr>
          <w:rFonts w:ascii="Calibri" w:hAnsi="Calibri"/>
          <w:sz w:val="22"/>
        </w:rPr>
        <w:t>CLV is heavily right-skewed: mean £2,049 · median £669 · P99 £19,780. The mean overstates the typical customer by 3.1×.</w:t>
      </w:r>
    </w:p>
    <w:p>
      <w:pPr>
        <w:pStyle w:val="ListBullet"/>
      </w:pPr>
      <w:r>
        <w:rPr>
          <w:rFonts w:ascii="Calibri" w:hAnsi="Calibri"/>
          <w:sz w:val="22"/>
        </w:rPr>
        <w:t>95 ultra-loyal customers (21+ orders, 2.2% of base) drive 31% of revenue at avg CLV £29,316.</w:t>
      </w:r>
    </w:p>
    <w:p>
      <w:pPr>
        <w:pStyle w:val="ListBullet"/>
      </w:pPr>
      <w:r>
        <w:rPr>
          <w:rFonts w:ascii="Calibri" w:hAnsi="Calibri"/>
          <w:sz w:val="22"/>
        </w:rPr>
        <w:t>Median repeat cadence = 73 days — a 30-day nurture window lands BEFORE the natural repurchase moment.</w:t>
      </w:r>
    </w:p>
    <w:p>
      <w:pPr>
        <w:pStyle w:val="Heading2"/>
      </w:pPr>
      <w:r>
        <w:rPr>
          <w:rFonts w:ascii="Calibri" w:hAnsi="Calibri"/>
          <w:color w:val="0B2A4A"/>
        </w:rPr>
        <w:t>3.4 Phase 5 — RFM Segmentation</w:t>
      </w:r>
    </w:p>
    <w:p>
      <w:pPr>
        <w:pStyle w:val="ListBullet"/>
      </w:pPr>
      <w:r>
        <w:rPr>
          <w:rFonts w:ascii="Calibri" w:hAnsi="Calibri"/>
          <w:sz w:val="22"/>
        </w:rPr>
        <w:t>H5 ✅ — Recoverable revenue pool = 1,170 customers (Cannot Lose Them + At Risk) · £1.06M historical revenue · 11.9% of total.</w:t>
      </w:r>
    </w:p>
    <w:p>
      <w:pPr>
        <w:pStyle w:val="ListBullet"/>
      </w:pPr>
      <w:r>
        <w:rPr>
          <w:rFonts w:ascii="Calibri" w:hAnsi="Calibri"/>
          <w:sz w:val="22"/>
        </w:rPr>
        <w:t>Champions: 1,121 customers (26%) drive 65.9% of revenue.</w:t>
      </w:r>
    </w:p>
    <w:p>
      <w:pPr>
        <w:pStyle w:val="ListBullet"/>
      </w:pPr>
      <w:r>
        <w:rPr>
          <w:rFonts w:ascii="Calibri" w:hAnsi="Calibri"/>
          <w:sz w:val="22"/>
        </w:rPr>
        <w:t>Cannot Lose Them: 285 customers · avg historical monetary £1,590 · dormant ~110 days. Highest cost-of-loss per account in the taxonomy.</w:t>
      </w:r>
    </w:p>
    <w:p>
      <w:pPr>
        <w:pStyle w:val="ListBullet"/>
      </w:pPr>
      <w:r>
        <w:rPr>
          <w:rFonts w:ascii="Calibri" w:hAnsi="Calibri"/>
          <w:sz w:val="22"/>
        </w:rPr>
        <w:t>Hibernating: 753 customers (17%) drive only 5.2% of revenue — recommended suppression / annual touch only.</w:t>
      </w:r>
    </w:p>
    <w:p>
      <w:pPr>
        <w:pStyle w:val="Heading2"/>
      </w:pPr>
      <w:r>
        <w:rPr>
          <w:rFonts w:ascii="Calibri" w:hAnsi="Calibri"/>
          <w:color w:val="0B2A4A"/>
        </w:rPr>
        <w:t>3.5 Phase 6 — ML Segmentation</w:t>
      </w:r>
    </w:p>
    <w:p>
      <w:pPr>
        <w:pStyle w:val="ListBullet"/>
      </w:pPr>
      <w:r>
        <w:rPr>
          <w:rFonts w:ascii="Calibri" w:hAnsi="Calibri"/>
          <w:sz w:val="22"/>
        </w:rPr>
        <w:t>K-means clustering on log-transformed RFM + behavioral features; K=5 chosen for business interpretability (silhouette 0.279, PCA 83.9%).</w:t>
      </w:r>
    </w:p>
    <w:p>
      <w:pPr>
        <w:pStyle w:val="ListBullet"/>
      </w:pPr>
      <w:r>
        <w:rPr>
          <w:rFonts w:ascii="Calibri" w:hAnsi="Calibri"/>
          <w:sz w:val="22"/>
        </w:rPr>
        <w:t>VIP B2B Accounts: 689 customers (16%) → 60.1% of revenue · avg £7,755 monetary · 14 orders · 11 days recency.</w:t>
      </w:r>
    </w:p>
    <w:p>
      <w:pPr>
        <w:pStyle w:val="ListBullet"/>
      </w:pPr>
      <w:r>
        <w:rPr>
          <w:rFonts w:ascii="Calibri" w:hAnsi="Calibri"/>
          <w:sz w:val="22"/>
        </w:rPr>
        <w:t>Loyal Repeat Buyers: 899 · 25.4% revenue · natural promotion pipeline.</w:t>
      </w:r>
    </w:p>
    <w:p>
      <w:pPr>
        <w:pStyle w:val="ListBullet"/>
      </w:pPr>
      <w:r>
        <w:rPr>
          <w:rFonts w:ascii="Calibri" w:hAnsi="Calibri"/>
          <w:sz w:val="22"/>
        </w:rPr>
        <w:t>Engaged New Buyers: 1,140 · 7.7% revenue · target of the H3 30-day nurture (highest aggregate ROI).</w:t>
      </w:r>
    </w:p>
    <w:p>
      <w:pPr>
        <w:pStyle w:val="ListBullet"/>
      </w:pPr>
      <w:r>
        <w:rPr>
          <w:rFonts w:ascii="Calibri" w:hAnsi="Calibri"/>
          <w:sz w:val="22"/>
        </w:rPr>
        <w:t>Casual Low-Value Buyers: 807 · 5.4% revenue · quarterly seasonal promo only.</w:t>
      </w:r>
    </w:p>
    <w:p>
      <w:pPr>
        <w:pStyle w:val="ListBullet"/>
      </w:pPr>
      <w:r>
        <w:rPr>
          <w:rFonts w:ascii="Calibri" w:hAnsi="Calibri"/>
          <w:sz w:val="22"/>
        </w:rPr>
        <w:t>Dormant Former Buyers: 803 · 1.4% revenue · suppress / annual touch only.</w:t>
      </w:r>
    </w:p>
    <w:p>
      <w:pPr>
        <w:pStyle w:val="Heading1"/>
      </w:pPr>
      <w:r>
        <w:rPr>
          <w:rFonts w:ascii="Calibri" w:hAnsi="Calibri"/>
          <w:color w:val="0B2A4A"/>
        </w:rPr>
        <w:t>4. Business Recommendations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B2A4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#</w:t>
            </w:r>
          </w:p>
        </w:tc>
        <w:tc>
          <w:tcPr>
            <w:tcW w:type="dxa" w:w="2436"/>
            <w:shd w:val="clear" w:color="auto" w:fill="0B2A4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Recommendation</w:t>
            </w:r>
          </w:p>
        </w:tc>
        <w:tc>
          <w:tcPr>
            <w:tcW w:type="dxa" w:w="2436"/>
            <w:shd w:val="clear" w:color="auto" w:fill="0B2A4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Driven by</w:t>
            </w:r>
          </w:p>
        </w:tc>
        <w:tc>
          <w:tcPr>
            <w:tcW w:type="dxa" w:w="2436"/>
            <w:shd w:val="clear" w:color="auto" w:fill="0B2A4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Target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Named Account Program for VIP B2B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H4, P6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689 VIP B2B Accounts</w:t>
            </w:r>
          </w:p>
        </w:tc>
      </w:tr>
      <w:tr>
        <w:tc>
          <w:tcPr>
            <w:tcW w:type="dxa" w:w="2436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436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Tier-Up to VIP campaign</w:t>
            </w:r>
          </w:p>
        </w:tc>
        <w:tc>
          <w:tcPr>
            <w:tcW w:type="dxa" w:w="2436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P6</w:t>
            </w:r>
          </w:p>
        </w:tc>
        <w:tc>
          <w:tcPr>
            <w:tcW w:type="dxa" w:w="2436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899 Loyal Repeat Buyers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30-day post-purchase nurture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H3 (11.9×)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1,140 Engaged New Buyers</w:t>
            </w:r>
          </w:p>
        </w:tc>
      </w:tr>
      <w:tr>
        <w:tc>
          <w:tcPr>
            <w:tcW w:type="dxa" w:w="2436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436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Quarterly seasonal promo</w:t>
            </w:r>
          </w:p>
        </w:tc>
        <w:tc>
          <w:tcPr>
            <w:tcW w:type="dxa" w:w="2436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P6</w:t>
            </w:r>
          </w:p>
        </w:tc>
        <w:tc>
          <w:tcPr>
            <w:tcW w:type="dxa" w:w="2436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807 Casual buyers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Suppress / annual touch only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P6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803 Dormant Former Buyers</w:t>
            </w:r>
          </w:p>
        </w:tc>
      </w:tr>
      <w:tr>
        <w:tc>
          <w:tcPr>
            <w:tcW w:type="dxa" w:w="2436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436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Cannot Lose Them recovery (AM outreach)</w:t>
            </w:r>
          </w:p>
        </w:tc>
        <w:tc>
          <w:tcPr>
            <w:tcW w:type="dxa" w:w="2436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H5, P5</w:t>
            </w:r>
          </w:p>
        </w:tc>
        <w:tc>
          <w:tcPr>
            <w:tcW w:type="dxa" w:w="2436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285 customers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Split UK and Intl CRM tracks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H2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All</w:t>
            </w:r>
          </w:p>
        </w:tc>
      </w:tr>
      <w:tr>
        <w:tc>
          <w:tcPr>
            <w:tcW w:type="dxa" w:w="2436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436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Post-Christmas 30/60/90 nurture</w:t>
            </w:r>
          </w:p>
        </w:tc>
        <w:tc>
          <w:tcPr>
            <w:tcW w:type="dxa" w:w="2436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H6</w:t>
            </w:r>
          </w:p>
        </w:tc>
        <w:tc>
          <w:tcPr>
            <w:tcW w:type="dxa" w:w="2436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Dec cohort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Day-25 trigger emails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F4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All repeat buyers</w:t>
            </w:r>
          </w:p>
        </w:tc>
      </w:tr>
      <w:tr>
        <w:tc>
          <w:tcPr>
            <w:tcW w:type="dxa" w:w="2436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436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Operationalize via AI Agent</w:t>
            </w:r>
          </w:p>
        </w:tc>
        <w:tc>
          <w:tcPr>
            <w:tcW w:type="dxa" w:w="2436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P7</w:t>
            </w:r>
          </w:p>
        </w:tc>
        <w:tc>
          <w:tcPr>
            <w:tcW w:type="dxa" w:w="2436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All stakeholders</w:t>
            </w:r>
          </w:p>
        </w:tc>
      </w:tr>
    </w:tbl>
    <w:p>
      <w:pPr>
        <w:pStyle w:val="Heading1"/>
      </w:pPr>
      <w:r>
        <w:rPr>
          <w:rFonts w:ascii="Calibri" w:hAnsi="Calibri"/>
          <w:color w:val="0B2A4A"/>
        </w:rPr>
        <w:t>5. The Agentic AI Layer (Phase 7)</w:t>
      </w:r>
    </w:p>
    <w:p>
      <w:r>
        <w:rPr>
          <w:rFonts w:ascii="Calibri" w:hAnsi="Calibri"/>
          <w:b/>
          <w:i w:val="0"/>
          <w:sz w:val="22"/>
        </w:rPr>
        <w:t>The capstone of the project: an AI Marketing Insights Agent on top of the 5-persona segmentation.</w:t>
      </w:r>
    </w:p>
    <w:p>
      <w:r>
        <w:rPr>
          <w:rFonts w:ascii="Calibri" w:hAnsi="Calibri"/>
          <w:b/>
          <w:i/>
          <w:color w:val="0B2A4A"/>
          <w:sz w:val="22"/>
        </w:rPr>
        <w:t>Design principle: "The LLM renders. It does not decide."</w:t>
      </w:r>
    </w:p>
    <w:p>
      <w:r>
        <w:rPr>
          <w:rFonts w:ascii="Calibri" w:hAnsi="Calibri"/>
          <w:b w:val="0"/>
          <w:i w:val="0"/>
          <w:sz w:val="22"/>
        </w:rPr>
        <w:t>Three layers: Input (Phase 6 CSV + RFM scores + features) → Agent Core (4 deterministic tools + LLM rendering layer) → Output (executive briefs · churn alerts · revenue opportunity maps · JSON campaign briefs).</w:t>
      </w:r>
    </w:p>
    <w:p>
      <w:r>
        <w:rPr>
          <w:rFonts w:ascii="Calibri" w:hAnsi="Calibri"/>
          <w:b/>
          <w:i w:val="0"/>
          <w:sz w:val="22"/>
        </w:rPr>
        <w:t>Four tools:</w:t>
      </w:r>
    </w:p>
    <w:p>
      <w:pPr>
        <w:pStyle w:val="ListBullet"/>
      </w:pPr>
      <w:r>
        <w:rPr>
          <w:rFonts w:ascii="Calibri" w:hAnsi="Calibri"/>
          <w:sz w:val="22"/>
        </w:rPr>
        <w:t>tool_persona_summary — per-persona stats (counts · revenue · share · avg M/F/R)</w:t>
      </w:r>
    </w:p>
    <w:p>
      <w:pPr>
        <w:pStyle w:val="ListBullet"/>
      </w:pPr>
      <w:r>
        <w:rPr>
          <w:rFonts w:ascii="Calibri" w:hAnsi="Calibri"/>
          <w:sz w:val="22"/>
        </w:rPr>
        <w:t>tool_churn_alert — at-risk customers + top-5 to recover</w:t>
      </w:r>
    </w:p>
    <w:p>
      <w:pPr>
        <w:pStyle w:val="ListBullet"/>
      </w:pPr>
      <w:r>
        <w:rPr>
          <w:rFonts w:ascii="Calibri" w:hAnsi="Calibri"/>
          <w:sz w:val="22"/>
        </w:rPr>
        <w:t>tool_revenue_opportunity — migration economics between personas</w:t>
      </w:r>
    </w:p>
    <w:p>
      <w:pPr>
        <w:pStyle w:val="ListBullet"/>
      </w:pPr>
      <w:r>
        <w:rPr>
          <w:rFonts w:ascii="Calibri" w:hAnsi="Calibri"/>
          <w:sz w:val="22"/>
        </w:rPr>
        <w:t>tool_campaign_recommendation — named campaign · channel · KPIs · actions</w:t>
      </w:r>
    </w:p>
    <w:p>
      <w:r>
        <w:rPr>
          <w:rFonts w:ascii="Calibri" w:hAnsi="Calibri"/>
          <w:b/>
          <w:i w:val="0"/>
          <w:sz w:val="22"/>
        </w:rPr>
        <w:t>Hallucination is eliminated by construction:</w:t>
      </w:r>
    </w:p>
    <w:p>
      <w:pPr>
        <w:pStyle w:val="ListBullet"/>
      </w:pPr>
      <w:r>
        <w:rPr>
          <w:rFonts w:ascii="Calibri" w:hAnsi="Calibri"/>
          <w:sz w:val="22"/>
        </w:rPr>
        <w:t>LLM receives ONLY pre-computed structured dicts — no source for numerical claims other than tool outputs.</w:t>
      </w:r>
    </w:p>
    <w:p>
      <w:pPr>
        <w:pStyle w:val="ListBullet"/>
      </w:pPr>
      <w:r>
        <w:rPr>
          <w:rFonts w:ascii="Calibri" w:hAnsi="Calibri"/>
          <w:sz w:val="22"/>
        </w:rPr>
        <w:t>Output validator rejects any £-figure not present in the input dict.</w:t>
      </w:r>
    </w:p>
    <w:p>
      <w:pPr>
        <w:pStyle w:val="ListBullet"/>
      </w:pPr>
      <w:r>
        <w:rPr>
          <w:rFonts w:ascii="Calibri" w:hAnsi="Calibri"/>
          <w:sz w:val="22"/>
        </w:rPr>
        <w:t>Fail-closed to deterministic renderer if validation fails.</w:t>
      </w:r>
    </w:p>
    <w:p>
      <w:pPr>
        <w:pStyle w:val="Heading1"/>
      </w:pPr>
      <w:r>
        <w:rPr>
          <w:rFonts w:ascii="Calibri" w:hAnsi="Calibri"/>
          <w:color w:val="0B2A4A"/>
        </w:rPr>
        <w:t>6. Skills Demonstrated (Avelabs JD mapping)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B2A4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Avelabs requirement</w:t>
            </w:r>
          </w:p>
        </w:tc>
        <w:tc>
          <w:tcPr>
            <w:tcW w:type="dxa" w:w="4873"/>
            <w:shd w:val="clear" w:color="auto" w:fill="0B2A4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Where demonstrated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/>
                <w:sz w:val="20"/>
              </w:rPr>
              <w:t>SQL · Python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All notebooks · pandas/numpy throughout</w:t>
            </w:r>
          </w:p>
        </w:tc>
      </w:tr>
      <w:tr>
        <w:tc>
          <w:tcPr>
            <w:tcW w:type="dxa" w:w="4873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Data Analysis</w:t>
            </w:r>
          </w:p>
        </w:tc>
        <w:tc>
          <w:tcPr>
            <w:tcW w:type="dxa" w:w="4873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Phases 2-5 (EDA, customer analytics, RFM)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/>
                <w:sz w:val="20"/>
              </w:rPr>
              <w:t>Business Thinking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/>
                <w:sz w:val="20"/>
              </w:rPr>
              <w:t>Phase 1 framing · "So What" bridge on every section</w:t>
            </w:r>
          </w:p>
        </w:tc>
      </w:tr>
      <w:tr>
        <w:tc>
          <w:tcPr>
            <w:tcW w:type="dxa" w:w="4873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Hypothesis Validation</w:t>
            </w:r>
          </w:p>
        </w:tc>
        <w:tc>
          <w:tcPr>
            <w:tcW w:type="dxa" w:w="4873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Hypothesis Register · 6 of 7 confirmed with data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/>
                <w:sz w:val="20"/>
              </w:rPr>
              <w:t>Communication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/>
                <w:sz w:val="20"/>
              </w:rPr>
              <w:t>13-slide segmentation deck · 9-slide AI deck · 7 MD reports · executive PDF</w:t>
            </w:r>
          </w:p>
        </w:tc>
      </w:tr>
      <w:tr>
        <w:tc>
          <w:tcPr>
            <w:tcW w:type="dxa" w:w="4873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Analytical Thinking</w:t>
            </w:r>
          </w:p>
        </w:tc>
        <w:tc>
          <w:tcPr>
            <w:tcW w:type="dxa" w:w="4873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K-selection trade-off · cleaning judgment · outlier interpretation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/>
                <w:sz w:val="20"/>
              </w:rPr>
              <w:t>Machine Learning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/>
                <w:sz w:val="20"/>
              </w:rPr>
              <w:t>Phase 6 K-means + PCA + cross-validation</w:t>
            </w:r>
          </w:p>
        </w:tc>
      </w:tr>
      <w:tr>
        <w:tc>
          <w:tcPr>
            <w:tcW w:type="dxa" w:w="4873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LLMs / Agentic AI</w:t>
            </w:r>
          </w:p>
        </w:tc>
        <w:tc>
          <w:tcPr>
            <w:tcW w:type="dxa" w:w="4873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Phase 7 system design · prototype · architecture deck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/>
                <w:sz w:val="20"/>
              </w:rPr>
              <w:t>Predictive Analytics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/>
                <w:sz w:val="20"/>
              </w:rPr>
              <w:t>Predictive CLV roadmapped (V4) · framework defined</w:t>
            </w:r>
          </w:p>
        </w:tc>
      </w:tr>
      <w:tr>
        <w:tc>
          <w:tcPr>
            <w:tcW w:type="dxa" w:w="4873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Data Pipelines</w:t>
            </w:r>
          </w:p>
        </w:tc>
        <w:tc>
          <w:tcPr>
            <w:tcW w:type="dxa" w:w="4873"/>
            <w:shd w:val="clear" w:color="auto" w:fill="F2F5F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Phase 2 5-step cleaning · reproducible end-to-end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/>
                <w:sz w:val="20"/>
              </w:rPr>
              <w:t>Startup Mindset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/>
                <w:sz w:val="20"/>
              </w:rPr>
              <w:t>Decision velocity framing · solo end-to-end delivery · 9-phase scope discipline</w:t>
            </w:r>
          </w:p>
        </w:tc>
      </w:tr>
    </w:tbl>
    <w:p>
      <w:pPr>
        <w:pStyle w:val="Heading1"/>
      </w:pPr>
      <w:r>
        <w:rPr>
          <w:rFonts w:ascii="Calibri" w:hAnsi="Calibri"/>
          <w:color w:val="0B2A4A"/>
        </w:rPr>
        <w:t>7. Future Work</w:t>
      </w:r>
    </w:p>
    <w:p>
      <w:pPr>
        <w:pStyle w:val="ListBullet"/>
      </w:pPr>
      <w:r>
        <w:rPr>
          <w:rFonts w:ascii="Calibri" w:hAnsi="Calibri"/>
          <w:sz w:val="22"/>
        </w:rPr>
        <w:t>V2 Agent: live LLM swap-in (single-function change).</w:t>
      </w:r>
    </w:p>
    <w:p>
      <w:pPr>
        <w:pStyle w:val="ListBullet"/>
      </w:pPr>
      <w:r>
        <w:rPr>
          <w:rFonts w:ascii="Calibri" w:hAnsi="Calibri"/>
          <w:sz w:val="22"/>
        </w:rPr>
        <w:t>V3 Agent: multi-agent coordinator that routes stakeholder queries to the right persona analysis.</w:t>
      </w:r>
    </w:p>
    <w:p>
      <w:pPr>
        <w:pStyle w:val="ListBullet"/>
      </w:pPr>
      <w:r>
        <w:rPr>
          <w:rFonts w:ascii="Calibri" w:hAnsi="Calibri"/>
          <w:sz w:val="22"/>
        </w:rPr>
        <w:t>V4 Agent: predictive churn integration (BG/NBD + Gamma-Gamma).</w:t>
      </w:r>
    </w:p>
    <w:p>
      <w:pPr>
        <w:pStyle w:val="ListBullet"/>
      </w:pPr>
      <w:r>
        <w:rPr>
          <w:rFonts w:ascii="Calibri" w:hAnsi="Calibri"/>
          <w:sz w:val="22"/>
        </w:rPr>
        <w:t>Streamlit dashboard layer for self-service CRM Manager querying.</w:t>
      </w:r>
    </w:p>
    <w:p>
      <w:pPr>
        <w:pStyle w:val="ListBullet"/>
      </w:pPr>
      <w:r>
        <w:rPr>
          <w:rFonts w:ascii="Calibri" w:hAnsi="Calibri"/>
          <w:sz w:val="22"/>
        </w:rPr>
        <w:t>Hypothesis H7 — returns concentration analysis.</w:t>
      </w:r>
    </w:p>
    <w:p>
      <w:pPr>
        <w:pStyle w:val="ListBullet"/>
      </w:pPr>
      <w:r>
        <w:rPr>
          <w:rFonts w:ascii="Calibri" w:hAnsi="Calibri"/>
          <w:sz w:val="22"/>
        </w:rPr>
        <w:t>Real-time CRM event streaming.</w:t>
      </w:r>
    </w:p>
    <w:p>
      <w:pPr>
        <w:pStyle w:val="Heading1"/>
      </w:pPr>
      <w:r>
        <w:rPr>
          <w:rFonts w:ascii="Calibri" w:hAnsi="Calibri"/>
          <w:color w:val="0B2A4A"/>
        </w:rPr>
        <w:t>8. Complete Artifact Index</w:t>
      </w:r>
    </w:p>
    <w:p>
      <w:r>
        <w:rPr>
          <w:rFonts w:ascii="Calibri" w:hAnsi="Calibri"/>
          <w:b w:val="0"/>
          <w:i/>
          <w:color w:val="555B66"/>
          <w:sz w:val="22"/>
        </w:rPr>
        <w:t>62+ artifacts across 9 phases. The notebooks, decks, reports, charts, and source files are all in the GitHub repo. The single-file representation of every deliverable is grouped below.</w:t>
      </w:r>
    </w:p>
    <w:p>
      <w:r>
        <w:rPr>
          <w:rFonts w:ascii="Calibri" w:hAnsi="Calibri"/>
          <w:b/>
          <w:i w:val="0"/>
          <w:sz w:val="22"/>
        </w:rPr>
        <w:t>Notebooks (6):</w:t>
      </w:r>
    </w:p>
    <w:p>
      <w:r>
        <w:rPr>
          <w:rFonts w:ascii="Calibri" w:hAnsi="Calibri"/>
          <w:b w:val="0"/>
          <w:i w:val="0"/>
          <w:sz w:val="22"/>
        </w:rPr>
        <w:t>01_data_understanding · 02_eda · 03_customer_analytics · 04_rfm_analysis · 05_customer_segmentation · 06_ai_marketing_agent</w:t>
      </w:r>
    </w:p>
    <w:p>
      <w:r>
        <w:rPr>
          <w:rFonts w:ascii="Calibri" w:hAnsi="Calibri"/>
          <w:b/>
          <w:i w:val="0"/>
          <w:sz w:val="22"/>
        </w:rPr>
        <w:t>Executive PPTX Decks (3):</w:t>
      </w:r>
    </w:p>
    <w:p>
      <w:r>
        <w:rPr>
          <w:rFonts w:ascii="Calibri" w:hAnsi="Calibri"/>
          <w:b w:val="0"/>
          <w:i w:val="0"/>
          <w:sz w:val="22"/>
        </w:rPr>
        <w:t>Phase 6 Segmentation (13 slides) · Phase 7 AI Architecture (9 slides) · Phase 9 Final Portfolio Master Deck (18 slides)</w:t>
      </w:r>
    </w:p>
    <w:p>
      <w:r>
        <w:rPr>
          <w:rFonts w:ascii="Calibri" w:hAnsi="Calibri"/>
          <w:b/>
          <w:i w:val="0"/>
          <w:sz w:val="22"/>
        </w:rPr>
        <w:t>DOCX Documents (6):</w:t>
      </w:r>
    </w:p>
    <w:p>
      <w:r>
        <w:rPr>
          <w:rFonts w:ascii="Calibri" w:hAnsi="Calibri"/>
          <w:b w:val="0"/>
          <w:i w:val="0"/>
          <w:sz w:val="22"/>
        </w:rPr>
        <w:t>Phase 1 Business Understanding · Phase 7 System Design · Phase 8 Resume Bullets · Phase 8 LinkedIn Pack · Phase 8 STAR Stories · Phase 8 Avelabs Cover Letter · Phase 9 Interview Prep Kit · Phase 9 Master Portfolio Document (this file)</w:t>
      </w:r>
    </w:p>
    <w:p>
      <w:r>
        <w:rPr>
          <w:rFonts w:ascii="Calibri" w:hAnsi="Calibri"/>
          <w:b/>
          <w:i w:val="0"/>
          <w:sz w:val="22"/>
        </w:rPr>
        <w:t>Markdown Reports (8):</w:t>
      </w:r>
    </w:p>
    <w:p>
      <w:r>
        <w:rPr>
          <w:rFonts w:ascii="Calibri" w:hAnsi="Calibri"/>
          <w:b w:val="0"/>
          <w:i w:val="0"/>
          <w:sz w:val="22"/>
        </w:rPr>
        <w:t>Business Understanding · Data Dictionary · Data Quality · EDA Summary · Customer Analytics Insights · RFM Playbook · Segmentation Report · Agent Sample Outputs · Project Descriptions (EN+KR)</w:t>
      </w:r>
    </w:p>
    <w:p>
      <w:r>
        <w:rPr>
          <w:rFonts w:ascii="Calibri" w:hAnsi="Calibri"/>
          <w:b/>
          <w:i w:val="0"/>
          <w:sz w:val="22"/>
        </w:rPr>
        <w:t>PDF Documents (2):</w:t>
      </w:r>
    </w:p>
    <w:p>
      <w:r>
        <w:rPr>
          <w:rFonts w:ascii="Calibri" w:hAnsi="Calibri"/>
          <w:b w:val="0"/>
          <w:i w:val="0"/>
          <w:sz w:val="22"/>
        </w:rPr>
        <w:t>Phase 3 EDA Executive Summary · Phase 9 Resume v1.0</w:t>
      </w:r>
    </w:p>
    <w:p>
      <w:r>
        <w:rPr>
          <w:rFonts w:ascii="Calibri" w:hAnsi="Calibri"/>
          <w:b/>
          <w:i w:val="0"/>
          <w:sz w:val="22"/>
        </w:rPr>
        <w:t>Hero Charts (22):</w:t>
      </w:r>
    </w:p>
    <w:p>
      <w:r>
        <w:rPr>
          <w:rFonts w:ascii="Calibri" w:hAnsi="Calibri"/>
          <w:b w:val="0"/>
          <w:i w:val="0"/>
          <w:sz w:val="22"/>
        </w:rPr>
        <w:t>Lorenz · monthly trend · UK vs Intl · frequency · DOW×hour heatmap · top countries · B2B scatter · CLV distribution · H3 fast/slow/never · cohort retention heatmap · revenue by frequency · days between · segment treemap · R×F scatter · H5 pool · action priority · K-selection · PCA scatter · persona revenue · persona radar · ML×RFM heatmap · agent architecture</w:t>
      </w:r>
    </w:p>
    <w:p>
      <w:r>
        <w:rPr>
          <w:rFonts w:ascii="Calibri" w:hAnsi="Calibri"/>
          <w:b/>
          <w:i w:val="0"/>
          <w:sz w:val="22"/>
        </w:rPr>
        <w:t>Processed Datasets (5):</w:t>
      </w:r>
    </w:p>
    <w:p>
      <w:r>
        <w:rPr>
          <w:rFonts w:ascii="Calibri" w:hAnsi="Calibri"/>
          <w:b w:val="0"/>
          <w:i w:val="0"/>
          <w:sz w:val="22"/>
        </w:rPr>
        <w:t>cleaned parquet · customer_features.csv · customer_rfm.csv · customer_segments_ml.csv · cohort retention pct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