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116" w:rsidRDefault="001A1334">
      <w:pPr>
        <w:spacing w:before="1800" w:after="120"/>
      </w:pPr>
      <w:r>
        <w:rPr>
          <w:b/>
          <w:bCs/>
          <w:color w:val="0B5F8A"/>
          <w:spacing w:val="30"/>
          <w:sz w:val="18"/>
          <w:szCs w:val="18"/>
        </w:rPr>
        <w:t>SOLUTION ARCHITECTURE · VERSION 1.0 · DRAFT FOR CLIENT REVIEW</w:t>
      </w:r>
    </w:p>
    <w:p w:rsidR="00811116" w:rsidRDefault="001A1334">
      <w:pPr>
        <w:spacing w:after="200"/>
      </w:pPr>
      <w:r>
        <w:rPr>
          <w:b/>
          <w:bCs/>
          <w:color w:val="13202B"/>
          <w:sz w:val="64"/>
          <w:szCs w:val="64"/>
        </w:rPr>
        <w:t xml:space="preserve">Vendor </w:t>
      </w:r>
      <w:proofErr w:type="spellStart"/>
      <w:r>
        <w:rPr>
          <w:b/>
          <w:bCs/>
          <w:color w:val="13202B"/>
          <w:sz w:val="64"/>
          <w:szCs w:val="64"/>
        </w:rPr>
        <w:t>Onboarding</w:t>
      </w:r>
      <w:proofErr w:type="spellEnd"/>
      <w:r>
        <w:rPr>
          <w:b/>
          <w:bCs/>
          <w:color w:val="13202B"/>
          <w:sz w:val="64"/>
          <w:szCs w:val="64"/>
        </w:rPr>
        <w:t xml:space="preserve"> Platform</w:t>
      </w:r>
    </w:p>
    <w:p w:rsidR="00811116" w:rsidRDefault="001A1334">
      <w:pPr>
        <w:spacing w:after="480"/>
      </w:pPr>
      <w:r>
        <w:rPr>
          <w:color w:val="5D6C78"/>
          <w:sz w:val="26"/>
          <w:szCs w:val="26"/>
        </w:rPr>
        <w:t>How the platform is built, what it connects to, where data lives, and how it is secured and kept available. Written for business, security, infrastructure and audit stakeholders.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6426"/>
      </w:tblGrid>
      <w:tr w:rsidR="00811116">
        <w:trPr>
          <w:cantSplit/>
        </w:trPr>
        <w:tc>
          <w:tcPr>
            <w:tcW w:w="321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Prepared for</w:t>
            </w:r>
          </w:p>
        </w:tc>
        <w:tc>
          <w:tcPr>
            <w:tcW w:w="642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A6374B">
            <w:pPr>
              <w:spacing w:after="40"/>
            </w:pPr>
            <w:r>
              <w:rPr>
                <w:color w:val="13202B"/>
                <w:sz w:val="19"/>
                <w:szCs w:val="19"/>
              </w:rPr>
              <w:t xml:space="preserve">[Hero </w:t>
            </w:r>
            <w:proofErr w:type="spellStart"/>
            <w:r>
              <w:rPr>
                <w:color w:val="13202B"/>
                <w:sz w:val="19"/>
                <w:szCs w:val="19"/>
              </w:rPr>
              <w:t>FinCorp</w:t>
            </w:r>
            <w:proofErr w:type="spellEnd"/>
            <w:r>
              <w:rPr>
                <w:color w:val="13202B"/>
                <w:sz w:val="19"/>
                <w:szCs w:val="19"/>
              </w:rPr>
              <w:t>, Hero Housing</w:t>
            </w:r>
            <w:r w:rsidR="001A1334">
              <w:rPr>
                <w:color w:val="13202B"/>
                <w:sz w:val="19"/>
                <w:szCs w:val="19"/>
              </w:rPr>
              <w:t>]</w:t>
            </w:r>
          </w:p>
        </w:tc>
      </w:tr>
      <w:tr w:rsidR="00811116">
        <w:trPr>
          <w:cantSplit/>
        </w:trPr>
        <w:tc>
          <w:tcPr>
            <w:tcW w:w="321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Prepared by</w:t>
            </w:r>
          </w:p>
        </w:tc>
        <w:tc>
          <w:tcPr>
            <w:tcW w:w="642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A6374B" w:rsidP="00A6374B">
            <w:pPr>
              <w:spacing w:after="40"/>
            </w:pPr>
            <w:r>
              <w:rPr>
                <w:color w:val="13202B"/>
                <w:sz w:val="19"/>
                <w:szCs w:val="19"/>
              </w:rPr>
              <w:t>[Ernst and Young</w:t>
            </w:r>
            <w:r w:rsidR="001A1334">
              <w:rPr>
                <w:color w:val="13202B"/>
                <w:sz w:val="19"/>
                <w:szCs w:val="19"/>
              </w:rPr>
              <w:t>]</w:t>
            </w:r>
          </w:p>
        </w:tc>
      </w:tr>
      <w:tr w:rsidR="00811116">
        <w:trPr>
          <w:cantSplit/>
        </w:trPr>
        <w:tc>
          <w:tcPr>
            <w:tcW w:w="321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Date</w:t>
            </w:r>
          </w:p>
        </w:tc>
        <w:tc>
          <w:tcPr>
            <w:tcW w:w="642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A6374B">
            <w:pPr>
              <w:spacing w:after="40"/>
            </w:pPr>
            <w:r>
              <w:rPr>
                <w:color w:val="13202B"/>
                <w:sz w:val="19"/>
                <w:szCs w:val="19"/>
              </w:rPr>
              <w:t>22</w:t>
            </w:r>
            <w:r w:rsidR="001A1334">
              <w:rPr>
                <w:color w:val="13202B"/>
                <w:sz w:val="19"/>
                <w:szCs w:val="19"/>
              </w:rPr>
              <w:t xml:space="preserve"> October </w:t>
            </w:r>
            <w:r w:rsidR="001A1334">
              <w:rPr>
                <w:color w:val="13202B"/>
                <w:sz w:val="19"/>
                <w:szCs w:val="19"/>
              </w:rPr>
              <w:t>2026</w:t>
            </w:r>
          </w:p>
        </w:tc>
      </w:tr>
    </w:tbl>
    <w:p w:rsidR="00811116" w:rsidRDefault="001A1334">
      <w:pPr>
        <w:spacing w:before="480" w:after="80"/>
      </w:pPr>
      <w:r>
        <w:rPr>
          <w:b/>
          <w:bCs/>
          <w:color w:val="13202B"/>
          <w:sz w:val="25"/>
          <w:szCs w:val="25"/>
        </w:rPr>
        <w:t>Contents</w:t>
      </w:r>
    </w:p>
    <w:p w:rsidR="00811116" w:rsidRDefault="001A1334">
      <w:pPr>
        <w:spacing w:after="40"/>
      </w:pPr>
      <w:r>
        <w:rPr>
          <w:color w:val="13202B"/>
        </w:rPr>
        <w:t>1   Summary</w:t>
      </w:r>
    </w:p>
    <w:p w:rsidR="00811116" w:rsidRDefault="001A1334">
      <w:pPr>
        <w:spacing w:after="40"/>
      </w:pPr>
      <w:r>
        <w:rPr>
          <w:color w:val="13202B"/>
        </w:rPr>
        <w:t>2   System boundary and consuming applications</w:t>
      </w:r>
    </w:p>
    <w:p w:rsidR="00811116" w:rsidRDefault="001A1334">
      <w:pPr>
        <w:spacing w:after="40"/>
      </w:pPr>
      <w:r>
        <w:rPr>
          <w:color w:val="13202B"/>
        </w:rPr>
        <w:t>3   Application and service layers</w:t>
      </w:r>
    </w:p>
    <w:p w:rsidR="00811116" w:rsidRDefault="001A1334">
      <w:pPr>
        <w:spacing w:after="40"/>
      </w:pPr>
      <w:r>
        <w:rPr>
          <w:color w:val="13202B"/>
        </w:rPr>
        <w:t>4   Data and process flow</w:t>
      </w:r>
    </w:p>
    <w:p w:rsidR="00811116" w:rsidRDefault="001A1334">
      <w:pPr>
        <w:spacing w:after="40"/>
      </w:pPr>
      <w:r>
        <w:rPr>
          <w:color w:val="13202B"/>
        </w:rPr>
        <w:t>5   Data storage</w:t>
      </w:r>
    </w:p>
    <w:p w:rsidR="00811116" w:rsidRDefault="001A1334">
      <w:pPr>
        <w:spacing w:after="40"/>
      </w:pPr>
      <w:r>
        <w:rPr>
          <w:color w:val="13202B"/>
        </w:rPr>
        <w:t>6   Integration points with external systems</w:t>
      </w:r>
    </w:p>
    <w:p w:rsidR="00811116" w:rsidRDefault="001A1334">
      <w:pPr>
        <w:spacing w:after="40"/>
      </w:pPr>
      <w:r>
        <w:rPr>
          <w:color w:val="13202B"/>
        </w:rPr>
        <w:t>7   Security and authentication</w:t>
      </w:r>
    </w:p>
    <w:p w:rsidR="00811116" w:rsidRDefault="001A1334">
      <w:pPr>
        <w:spacing w:after="40"/>
      </w:pPr>
      <w:r>
        <w:rPr>
          <w:color w:val="13202B"/>
        </w:rPr>
        <w:t>8   Infrastructure and deployment</w:t>
      </w:r>
    </w:p>
    <w:p w:rsidR="00811116" w:rsidRDefault="001A1334">
      <w:pPr>
        <w:spacing w:after="40"/>
      </w:pPr>
      <w:r>
        <w:rPr>
          <w:color w:val="13202B"/>
        </w:rPr>
        <w:t>9   Logging and monitoring</w:t>
      </w:r>
    </w:p>
    <w:p w:rsidR="00811116" w:rsidRDefault="001A1334">
      <w:pPr>
        <w:spacing w:after="40"/>
      </w:pPr>
      <w:r>
        <w:rPr>
          <w:color w:val="13202B"/>
        </w:rPr>
        <w:t>10   High availability and disaster recovery</w:t>
      </w:r>
    </w:p>
    <w:p w:rsidR="00811116" w:rsidRDefault="001A1334">
      <w:pPr>
        <w:spacing w:after="40"/>
      </w:pPr>
      <w:r>
        <w:rPr>
          <w:color w:val="13202B"/>
        </w:rPr>
        <w:t>11   Decisions we need from the client</w:t>
      </w:r>
    </w:p>
    <w:p w:rsidR="00811116" w:rsidRDefault="00811116">
      <w:pPr>
        <w:pageBreakBefore/>
      </w:pPr>
    </w:p>
    <w:p w:rsidR="00811116" w:rsidRDefault="001A1334">
      <w:pPr>
        <w:pStyle w:val="Heading1"/>
        <w:keepNext/>
        <w:spacing w:before="360" w:after="120"/>
      </w:pPr>
      <w:r>
        <w:rPr>
          <w:b/>
          <w:bCs/>
          <w:color w:val="0B5F8A"/>
          <w:sz w:val="34"/>
          <w:szCs w:val="34"/>
        </w:rPr>
        <w:t>1   Summary</w:t>
      </w:r>
    </w:p>
    <w:p w:rsidR="00811116" w:rsidRDefault="001A1334">
      <w:pPr>
        <w:spacing w:after="120" w:line="288" w:lineRule="auto"/>
      </w:pPr>
      <w:r>
        <w:rPr>
          <w:color w:val="13202B"/>
        </w:rPr>
        <w:t xml:space="preserve">The Vendor </w:t>
      </w:r>
      <w:proofErr w:type="spellStart"/>
      <w:r>
        <w:rPr>
          <w:color w:val="13202B"/>
        </w:rPr>
        <w:t>Onboarding</w:t>
      </w:r>
      <w:proofErr w:type="spellEnd"/>
      <w:r>
        <w:rPr>
          <w:color w:val="13202B"/>
        </w:rPr>
        <w:t xml:space="preserve"> Platform (</w:t>
      </w:r>
      <w:r w:rsidR="00A6374B">
        <w:rPr>
          <w:color w:val="13202B"/>
        </w:rPr>
        <w:t>VOMT</w:t>
      </w:r>
      <w:r>
        <w:rPr>
          <w:color w:val="13202B"/>
        </w:rPr>
        <w:t>) takes a new vendor from request to approved record. A business user raises a case, the platform checks the vendor's tax and bank details against government registries, specialist teams review in parallel, and a final co</w:t>
      </w:r>
      <w:r>
        <w:rPr>
          <w:color w:val="13202B"/>
        </w:rPr>
        <w:t>nfirmation activates the vendor in the ERP. Every step is recorded in a tamper-evident audit trail.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7010"/>
      </w:tblGrid>
      <w:tr w:rsidR="00811116">
        <w:trPr>
          <w:tblHeader/>
        </w:trPr>
        <w:tc>
          <w:tcPr>
            <w:tcW w:w="2628"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AREA</w:t>
            </w:r>
          </w:p>
        </w:tc>
        <w:tc>
          <w:tcPr>
            <w:tcW w:w="701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APPROACH</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Application</w:t>
            </w:r>
          </w:p>
        </w:tc>
        <w:tc>
          <w:tcPr>
            <w:tcW w:w="701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Web portal (Next.js) and REST API (</w:t>
            </w:r>
            <w:proofErr w:type="spellStart"/>
            <w:r>
              <w:rPr>
                <w:color w:val="13202B"/>
                <w:sz w:val="19"/>
                <w:szCs w:val="19"/>
              </w:rPr>
              <w:t>NestJS</w:t>
            </w:r>
            <w:proofErr w:type="spellEnd"/>
            <w:r>
              <w:rPr>
                <w:color w:val="13202B"/>
                <w:sz w:val="19"/>
                <w:szCs w:val="19"/>
              </w:rPr>
              <w:t>), both stateless containers that scale horizontally.</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Structured data</w:t>
            </w:r>
          </w:p>
        </w:tc>
        <w:tc>
          <w:tcPr>
            <w:tcW w:w="701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sz w:val="19"/>
                <w:szCs w:val="19"/>
              </w:rPr>
              <w:t>PostgreSQL</w:t>
            </w:r>
            <w:r>
              <w:rPr>
                <w:color w:val="13202B"/>
                <w:sz w:val="19"/>
                <w:szCs w:val="19"/>
              </w:rPr>
              <w:t xml:space="preserve"> holds users, roles, cases, workflow definitions, review outcomes, notifications and the audit log.</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Documents</w:t>
            </w:r>
          </w:p>
        </w:tc>
        <w:tc>
          <w:tcPr>
            <w:tcW w:w="701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rsidP="00A6374B">
            <w:pPr>
              <w:spacing w:after="40"/>
            </w:pPr>
            <w:r>
              <w:rPr>
                <w:color w:val="13202B"/>
                <w:sz w:val="19"/>
                <w:szCs w:val="19"/>
              </w:rPr>
              <w:t xml:space="preserve">Object storage. </w:t>
            </w:r>
            <w:r>
              <w:rPr>
                <w:b/>
                <w:bCs/>
                <w:color w:val="13202B"/>
                <w:sz w:val="19"/>
                <w:szCs w:val="19"/>
              </w:rPr>
              <w:t>Amazon S3 is used as-is if the client already has it</w:t>
            </w:r>
            <w:r>
              <w:rPr>
                <w:color w:val="13202B"/>
                <w:sz w:val="19"/>
                <w:szCs w:val="19"/>
              </w:rPr>
              <w:t>;</w:t>
            </w:r>
            <w:r w:rsidR="00A6374B">
              <w:rPr>
                <w:color w:val="13202B"/>
                <w:sz w:val="19"/>
                <w:szCs w:val="19"/>
              </w:rPr>
              <w:t xml:space="preserve"> Azure blob Storage/GCP Storage </w:t>
            </w:r>
            <w:r>
              <w:rPr>
                <w:color w:val="13202B"/>
                <w:sz w:val="19"/>
                <w:szCs w:val="19"/>
              </w:rPr>
              <w:t>and others are supported by configuration.</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Sign-in</w:t>
            </w:r>
          </w:p>
        </w:tc>
        <w:tc>
          <w:tcPr>
            <w:tcW w:w="701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Enterprise single sign-on (OIDC or SAML 2.0, for example Microsoft </w:t>
            </w:r>
            <w:proofErr w:type="spellStart"/>
            <w:r>
              <w:rPr>
                <w:color w:val="13202B"/>
                <w:sz w:val="19"/>
                <w:szCs w:val="19"/>
              </w:rPr>
              <w:t>Entra</w:t>
            </w:r>
            <w:proofErr w:type="spellEnd"/>
            <w:r>
              <w:rPr>
                <w:color w:val="13202B"/>
                <w:sz w:val="19"/>
                <w:szCs w:val="19"/>
              </w:rPr>
              <w:t xml:space="preserve"> ID). Access is controlled by roles, denied by default.</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Deployment</w:t>
            </w:r>
          </w:p>
        </w:tc>
        <w:tc>
          <w:tcPr>
            <w:tcW w:w="701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Containers on Kubernetes (H</w:t>
            </w:r>
            <w:r>
              <w:rPr>
                <w:color w:val="13202B"/>
                <w:sz w:val="19"/>
                <w:szCs w:val="19"/>
              </w:rPr>
              <w:t>elm chart provided) in the client's cloud account or data centre. No cloud-specific code in the application.</w:t>
            </w:r>
          </w:p>
        </w:tc>
      </w:tr>
    </w:tbl>
    <w:p w:rsidR="00811116" w:rsidRDefault="00811116">
      <w:pPr>
        <w:spacing w:after="120"/>
      </w:pPr>
    </w:p>
    <w:p w:rsidR="00811116" w:rsidRDefault="001A1334">
      <w:pPr>
        <w:pStyle w:val="Heading1"/>
        <w:keepNext/>
        <w:spacing w:before="360" w:after="120"/>
      </w:pPr>
      <w:r>
        <w:rPr>
          <w:b/>
          <w:bCs/>
          <w:color w:val="0B5F8A"/>
          <w:sz w:val="34"/>
          <w:szCs w:val="34"/>
        </w:rPr>
        <w:t>2   System boundary and consuming applicatio</w:t>
      </w:r>
      <w:r>
        <w:rPr>
          <w:b/>
          <w:bCs/>
          <w:color w:val="0B5F8A"/>
          <w:sz w:val="34"/>
          <w:szCs w:val="34"/>
        </w:rPr>
        <w:t>ns</w:t>
      </w:r>
    </w:p>
    <w:p w:rsidR="00811116" w:rsidRDefault="001A1334">
      <w:pPr>
        <w:spacing w:after="120" w:line="288" w:lineRule="auto"/>
        <w:sectPr w:rsidR="00811116">
          <w:footerReference w:type="default" r:id="rId7"/>
          <w:pgSz w:w="11906" w:h="16838"/>
          <w:pgMar w:top="1134" w:right="1134" w:bottom="1134" w:left="1134" w:header="708" w:footer="708" w:gutter="0"/>
          <w:cols w:space="720"/>
          <w:docGrid w:linePitch="360"/>
        </w:sectPr>
      </w:pPr>
      <w:r>
        <w:rPr>
          <w:color w:val="13202B"/>
        </w:rPr>
        <w:t xml:space="preserve">Everything inside the dashed boundary is delivered and operated as part of </w:t>
      </w:r>
      <w:r w:rsidR="00A6374B">
        <w:rPr>
          <w:color w:val="13202B"/>
        </w:rPr>
        <w:t>VOMT</w:t>
      </w:r>
      <w:r>
        <w:rPr>
          <w:color w:val="13202B"/>
        </w:rPr>
        <w:t xml:space="preserve">. Everything outside it is an existing client system or a third-party service that </w:t>
      </w:r>
      <w:r w:rsidR="00A6374B">
        <w:rPr>
          <w:color w:val="13202B"/>
        </w:rPr>
        <w:t>VOMT</w:t>
      </w:r>
      <w:r>
        <w:rPr>
          <w:color w:val="13202B"/>
        </w:rPr>
        <w:t xml:space="preserve"> connects to.</w:t>
      </w:r>
    </w:p>
    <w:p w:rsidR="00811116" w:rsidRDefault="001A1334">
      <w:pPr>
        <w:spacing w:after="120"/>
      </w:pPr>
      <w:r>
        <w:rPr>
          <w:noProof/>
        </w:rPr>
        <w:lastRenderedPageBreak/>
        <w:drawing>
          <wp:inline distT="0" distB="0" distL="0" distR="0">
            <wp:extent cx="9144000" cy="5143500"/>
            <wp:effectExtent l="0" t="0" r="0" b="0"/>
            <wp:docPr id="1" name="diagram" descr="Figure 1. Users, the VOP boundary and the external systems it integrates with. Users reach VOP only through the web portal and API over HTTP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00" cy="5143500"/>
                    </a:xfrm>
                    <a:prstGeom prst="rect">
                      <a:avLst/>
                    </a:prstGeom>
                  </pic:spPr>
                </pic:pic>
              </a:graphicData>
            </a:graphic>
          </wp:inline>
        </w:drawing>
      </w:r>
    </w:p>
    <w:p w:rsidR="00811116" w:rsidRDefault="001A1334">
      <w:pPr>
        <w:spacing w:after="60"/>
      </w:pPr>
      <w:r>
        <w:rPr>
          <w:i/>
          <w:iCs/>
          <w:color w:val="5D6C78"/>
          <w:sz w:val="19"/>
          <w:szCs w:val="19"/>
        </w:rPr>
        <w:t xml:space="preserve">Figure 1. Users, the </w:t>
      </w:r>
      <w:r w:rsidR="00A6374B">
        <w:rPr>
          <w:i/>
          <w:iCs/>
          <w:color w:val="5D6C78"/>
          <w:sz w:val="19"/>
          <w:szCs w:val="19"/>
        </w:rPr>
        <w:t>VOMT</w:t>
      </w:r>
      <w:r>
        <w:rPr>
          <w:i/>
          <w:iCs/>
          <w:color w:val="5D6C78"/>
          <w:sz w:val="19"/>
          <w:szCs w:val="19"/>
        </w:rPr>
        <w:t xml:space="preserve"> boundary and the external systems it integrates wit</w:t>
      </w:r>
      <w:r>
        <w:rPr>
          <w:i/>
          <w:iCs/>
          <w:color w:val="5D6C78"/>
          <w:sz w:val="19"/>
          <w:szCs w:val="19"/>
        </w:rPr>
        <w:t xml:space="preserve">h. Users reach </w:t>
      </w:r>
      <w:r w:rsidR="00A6374B">
        <w:rPr>
          <w:i/>
          <w:iCs/>
          <w:color w:val="5D6C78"/>
          <w:sz w:val="19"/>
          <w:szCs w:val="19"/>
        </w:rPr>
        <w:t>VOMT</w:t>
      </w:r>
      <w:r>
        <w:rPr>
          <w:i/>
          <w:iCs/>
          <w:color w:val="5D6C78"/>
          <w:sz w:val="19"/>
          <w:szCs w:val="19"/>
        </w:rPr>
        <w:t xml:space="preserve"> only through the web portal and API over HTTPS.</w:t>
      </w:r>
    </w:p>
    <w:p w:rsidR="00811116" w:rsidRDefault="001A1334">
      <w:pPr>
        <w:sectPr w:rsidR="00811116">
          <w:footerReference w:type="default" r:id="rId9"/>
          <w:pgSz w:w="16838" w:h="11906" w:orient="landscape"/>
          <w:pgMar w:top="1134" w:right="1134" w:bottom="1134" w:left="1134" w:header="708" w:footer="708" w:gutter="0"/>
          <w:cols w:space="720"/>
          <w:docGrid w:linePitch="360"/>
        </w:sectPr>
      </w:pPr>
      <w:r>
        <w:rPr>
          <w:color w:val="5D6C78"/>
          <w:sz w:val="18"/>
          <w:szCs w:val="18"/>
        </w:rPr>
        <w:t>Colour key: blue = presentation, purple = application, green = data, orange = external t</w:t>
      </w:r>
      <w:bookmarkStart w:id="0" w:name="_GoBack"/>
      <w:bookmarkEnd w:id="0"/>
      <w:r>
        <w:rPr>
          <w:color w:val="5D6C78"/>
          <w:sz w:val="18"/>
          <w:szCs w:val="18"/>
        </w:rPr>
        <w:t xml:space="preserve">o </w:t>
      </w:r>
      <w:r w:rsidR="00A6374B">
        <w:rPr>
          <w:color w:val="5D6C78"/>
          <w:sz w:val="18"/>
          <w:szCs w:val="18"/>
        </w:rPr>
        <w:t>VOMT</w:t>
      </w:r>
      <w:r>
        <w:rPr>
          <w:color w:val="5D6C78"/>
          <w:sz w:val="18"/>
          <w:szCs w:val="18"/>
        </w:rPr>
        <w:t>.</w:t>
      </w:r>
    </w:p>
    <w:p w:rsidR="00811116" w:rsidRDefault="001A1334">
      <w:pPr>
        <w:pStyle w:val="Heading1"/>
        <w:keepNext/>
        <w:spacing w:before="360" w:after="120"/>
      </w:pPr>
      <w:r>
        <w:rPr>
          <w:b/>
          <w:bCs/>
          <w:color w:val="0B5F8A"/>
          <w:sz w:val="34"/>
          <w:szCs w:val="34"/>
        </w:rPr>
        <w:lastRenderedPageBreak/>
        <w:t xml:space="preserve">3  </w:t>
      </w:r>
      <w:r>
        <w:rPr>
          <w:b/>
          <w:bCs/>
          <w:color w:val="0B5F8A"/>
          <w:sz w:val="34"/>
          <w:szCs w:val="34"/>
        </w:rPr>
        <w:t xml:space="preserve"> Application and service layers</w:t>
      </w:r>
    </w:p>
    <w:p w:rsidR="00811116" w:rsidRDefault="001A1334">
      <w:pPr>
        <w:spacing w:after="120" w:line="288" w:lineRule="auto"/>
      </w:pPr>
      <w:r>
        <w:rPr>
          <w:color w:val="13202B"/>
        </w:rPr>
        <w:t>The platform is a modular application. Each concern is a separate module, and every external dependency sits behind an adapter, so a storage, email or queue service can be swapped by configuration without code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338"/>
      </w:tblGrid>
      <w:tr w:rsidR="00811116">
        <w:trPr>
          <w:cantSplit/>
        </w:trPr>
        <w:tc>
          <w:tcPr>
            <w:tcW w:w="230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13202B"/>
                <w:sz w:val="19"/>
                <w:szCs w:val="19"/>
              </w:rPr>
              <w:t>Prese</w:t>
            </w:r>
            <w:r>
              <w:rPr>
                <w:b/>
                <w:bCs/>
                <w:color w:val="13202B"/>
                <w:sz w:val="19"/>
                <w:szCs w:val="19"/>
              </w:rPr>
              <w:t>ntation</w:t>
            </w:r>
          </w:p>
          <w:p w:rsidR="00811116" w:rsidRDefault="001A1334">
            <w:pPr>
              <w:spacing w:after="40"/>
            </w:pPr>
            <w:r>
              <w:rPr>
                <w:color w:val="13202B"/>
                <w:sz w:val="19"/>
                <w:szCs w:val="19"/>
              </w:rPr>
              <w:t>Browser, Next.js</w:t>
            </w:r>
          </w:p>
        </w:tc>
        <w:tc>
          <w:tcPr>
            <w:tcW w:w="733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sz w:val="19"/>
                <w:szCs w:val="19"/>
              </w:rPr>
              <w:t>Dashboard</w:t>
            </w:r>
            <w:r>
              <w:rPr>
                <w:color w:val="13202B"/>
                <w:sz w:val="19"/>
                <w:szCs w:val="19"/>
              </w:rPr>
              <w:t xml:space="preserve"> – Role-aware KPIs and queues</w:t>
            </w:r>
          </w:p>
          <w:p w:rsidR="00811116" w:rsidRDefault="001A1334">
            <w:pPr>
              <w:spacing w:after="40"/>
            </w:pPr>
            <w:r>
              <w:rPr>
                <w:b/>
                <w:bCs/>
                <w:color w:val="13202B"/>
                <w:sz w:val="19"/>
                <w:szCs w:val="19"/>
              </w:rPr>
              <w:t>Case forms</w:t>
            </w:r>
            <w:r>
              <w:rPr>
                <w:color w:val="13202B"/>
                <w:sz w:val="19"/>
                <w:szCs w:val="19"/>
              </w:rPr>
              <w:t xml:space="preserve"> – Intake, resubmit, review</w:t>
            </w:r>
          </w:p>
          <w:p w:rsidR="00811116" w:rsidRDefault="001A1334">
            <w:pPr>
              <w:spacing w:after="40"/>
            </w:pPr>
            <w:r>
              <w:rPr>
                <w:b/>
                <w:bCs/>
                <w:color w:val="13202B"/>
                <w:sz w:val="19"/>
                <w:szCs w:val="19"/>
              </w:rPr>
              <w:t>Admin console</w:t>
            </w:r>
            <w:r>
              <w:rPr>
                <w:color w:val="13202B"/>
                <w:sz w:val="19"/>
                <w:szCs w:val="19"/>
              </w:rPr>
              <w:t xml:space="preserve"> – Users, roles, workflow, categories</w:t>
            </w:r>
          </w:p>
          <w:p w:rsidR="00811116" w:rsidRDefault="001A1334">
            <w:pPr>
              <w:spacing w:after="40"/>
            </w:pPr>
            <w:r>
              <w:rPr>
                <w:b/>
                <w:bCs/>
                <w:color w:val="13202B"/>
                <w:sz w:val="19"/>
                <w:szCs w:val="19"/>
              </w:rPr>
              <w:t>Audit viewer</w:t>
            </w:r>
            <w:r>
              <w:rPr>
                <w:color w:val="13202B"/>
                <w:sz w:val="19"/>
                <w:szCs w:val="19"/>
              </w:rPr>
              <w:t xml:space="preserve"> – Search, verify, export</w:t>
            </w:r>
          </w:p>
        </w:tc>
      </w:tr>
      <w:tr w:rsidR="00811116">
        <w:trPr>
          <w:cantSplit/>
        </w:trPr>
        <w:tc>
          <w:tcPr>
            <w:tcW w:w="230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13202B"/>
                <w:sz w:val="19"/>
                <w:szCs w:val="19"/>
              </w:rPr>
              <w:t>Edge</w:t>
            </w:r>
          </w:p>
          <w:p w:rsidR="00811116" w:rsidRDefault="001A1334">
            <w:pPr>
              <w:spacing w:after="40"/>
            </w:pPr>
            <w:r>
              <w:rPr>
                <w:color w:val="13202B"/>
                <w:sz w:val="19"/>
                <w:szCs w:val="19"/>
              </w:rPr>
              <w:t>Ingress / load balancer</w:t>
            </w:r>
          </w:p>
        </w:tc>
        <w:tc>
          <w:tcPr>
            <w:tcW w:w="733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sz w:val="19"/>
                <w:szCs w:val="19"/>
              </w:rPr>
              <w:t>TLS termination</w:t>
            </w:r>
            <w:r>
              <w:rPr>
                <w:color w:val="13202B"/>
                <w:sz w:val="19"/>
                <w:szCs w:val="19"/>
              </w:rPr>
              <w:t xml:space="preserve"> – HTTPS only, HSTS</w:t>
            </w:r>
          </w:p>
          <w:p w:rsidR="00811116" w:rsidRDefault="001A1334">
            <w:pPr>
              <w:spacing w:after="40"/>
            </w:pPr>
            <w:r>
              <w:rPr>
                <w:b/>
                <w:bCs/>
                <w:color w:val="13202B"/>
                <w:sz w:val="19"/>
                <w:szCs w:val="19"/>
              </w:rPr>
              <w:t>Routing</w:t>
            </w:r>
            <w:r>
              <w:rPr>
                <w:color w:val="13202B"/>
                <w:sz w:val="19"/>
                <w:szCs w:val="19"/>
              </w:rPr>
              <w:t xml:space="preserve"> – / to web, /</w:t>
            </w:r>
            <w:proofErr w:type="spellStart"/>
            <w:r>
              <w:rPr>
                <w:color w:val="13202B"/>
                <w:sz w:val="19"/>
                <w:szCs w:val="19"/>
              </w:rPr>
              <w:t>api</w:t>
            </w:r>
            <w:proofErr w:type="spellEnd"/>
            <w:r>
              <w:rPr>
                <w:color w:val="13202B"/>
                <w:sz w:val="19"/>
                <w:szCs w:val="19"/>
              </w:rPr>
              <w:t xml:space="preserve"> to API</w:t>
            </w:r>
          </w:p>
          <w:p w:rsidR="00811116" w:rsidRDefault="001A1334">
            <w:pPr>
              <w:spacing w:after="40"/>
            </w:pPr>
            <w:r>
              <w:rPr>
                <w:b/>
                <w:bCs/>
                <w:color w:val="13202B"/>
                <w:sz w:val="19"/>
                <w:szCs w:val="19"/>
              </w:rPr>
              <w:t>WAF and rate limits</w:t>
            </w:r>
            <w:r>
              <w:rPr>
                <w:color w:val="13202B"/>
                <w:sz w:val="19"/>
                <w:szCs w:val="19"/>
              </w:rPr>
              <w:t xml:space="preserve"> – Throttling on public endpoints</w:t>
            </w:r>
          </w:p>
        </w:tc>
      </w:tr>
      <w:tr w:rsidR="00811116">
        <w:trPr>
          <w:cantSplit/>
        </w:trPr>
        <w:tc>
          <w:tcPr>
            <w:tcW w:w="230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13202B"/>
                <w:sz w:val="19"/>
                <w:szCs w:val="19"/>
              </w:rPr>
              <w:t>Application services</w:t>
            </w:r>
          </w:p>
          <w:p w:rsidR="00811116" w:rsidRDefault="001A1334">
            <w:pPr>
              <w:spacing w:after="40"/>
            </w:pPr>
            <w:proofErr w:type="spellStart"/>
            <w:r>
              <w:rPr>
                <w:color w:val="13202B"/>
                <w:sz w:val="19"/>
                <w:szCs w:val="19"/>
              </w:rPr>
              <w:t>NestJS</w:t>
            </w:r>
            <w:proofErr w:type="spellEnd"/>
            <w:r>
              <w:rPr>
                <w:color w:val="13202B"/>
                <w:sz w:val="19"/>
                <w:szCs w:val="19"/>
              </w:rPr>
              <w:t xml:space="preserve"> API, stateless</w:t>
            </w:r>
          </w:p>
        </w:tc>
        <w:tc>
          <w:tcPr>
            <w:tcW w:w="733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sz w:val="19"/>
                <w:szCs w:val="19"/>
              </w:rPr>
              <w:t>Identity and sessions</w:t>
            </w:r>
            <w:r>
              <w:rPr>
                <w:color w:val="13202B"/>
                <w:sz w:val="19"/>
                <w:szCs w:val="19"/>
              </w:rPr>
              <w:t xml:space="preserve"> – SSO, cookies, lockout</w:t>
            </w:r>
          </w:p>
          <w:p w:rsidR="00811116" w:rsidRDefault="001A1334">
            <w:pPr>
              <w:spacing w:after="40"/>
            </w:pPr>
            <w:r>
              <w:rPr>
                <w:b/>
                <w:bCs/>
                <w:color w:val="13202B"/>
                <w:sz w:val="19"/>
                <w:szCs w:val="19"/>
              </w:rPr>
              <w:t>Access control</w:t>
            </w:r>
            <w:r>
              <w:rPr>
                <w:color w:val="13202B"/>
                <w:sz w:val="19"/>
                <w:szCs w:val="19"/>
              </w:rPr>
              <w:t xml:space="preserve"> – Role guard, deny by default</w:t>
            </w:r>
          </w:p>
          <w:p w:rsidR="00811116" w:rsidRDefault="001A1334">
            <w:pPr>
              <w:spacing w:after="40"/>
            </w:pPr>
            <w:r>
              <w:rPr>
                <w:b/>
                <w:bCs/>
                <w:color w:val="13202B"/>
                <w:sz w:val="19"/>
                <w:szCs w:val="19"/>
              </w:rPr>
              <w:t>Cases and workflow</w:t>
            </w:r>
            <w:r>
              <w:rPr>
                <w:color w:val="13202B"/>
                <w:sz w:val="19"/>
                <w:szCs w:val="19"/>
              </w:rPr>
              <w:t xml:space="preserve"> – Risk </w:t>
            </w:r>
            <w:proofErr w:type="spellStart"/>
            <w:r>
              <w:rPr>
                <w:color w:val="13202B"/>
                <w:sz w:val="19"/>
                <w:szCs w:val="19"/>
              </w:rPr>
              <w:t>tiering</w:t>
            </w:r>
            <w:proofErr w:type="spellEnd"/>
            <w:r>
              <w:rPr>
                <w:color w:val="13202B"/>
                <w:sz w:val="19"/>
                <w:szCs w:val="19"/>
              </w:rPr>
              <w:t>, p</w:t>
            </w:r>
            <w:r>
              <w:rPr>
                <w:color w:val="13202B"/>
                <w:sz w:val="19"/>
                <w:szCs w:val="19"/>
              </w:rPr>
              <w:t>arallel stages</w:t>
            </w:r>
          </w:p>
          <w:p w:rsidR="00811116" w:rsidRDefault="001A1334">
            <w:pPr>
              <w:spacing w:after="40"/>
            </w:pPr>
            <w:r>
              <w:rPr>
                <w:b/>
                <w:bCs/>
                <w:color w:val="13202B"/>
                <w:sz w:val="19"/>
                <w:szCs w:val="19"/>
              </w:rPr>
              <w:t>Documents</w:t>
            </w:r>
            <w:r>
              <w:rPr>
                <w:color w:val="13202B"/>
                <w:sz w:val="19"/>
                <w:szCs w:val="19"/>
              </w:rPr>
              <w:t xml:space="preserve"> – Validate, scan, store, serve</w:t>
            </w:r>
          </w:p>
          <w:p w:rsidR="00811116" w:rsidRDefault="001A1334">
            <w:pPr>
              <w:spacing w:after="40"/>
            </w:pPr>
            <w:r>
              <w:rPr>
                <w:b/>
                <w:bCs/>
                <w:color w:val="13202B"/>
                <w:sz w:val="19"/>
                <w:szCs w:val="19"/>
              </w:rPr>
              <w:t>Verification</w:t>
            </w:r>
            <w:r>
              <w:rPr>
                <w:color w:val="13202B"/>
                <w:sz w:val="19"/>
                <w:szCs w:val="19"/>
              </w:rPr>
              <w:t xml:space="preserve"> – Registry checks, red flags</w:t>
            </w:r>
          </w:p>
          <w:p w:rsidR="00811116" w:rsidRDefault="001A1334">
            <w:pPr>
              <w:spacing w:after="40"/>
            </w:pPr>
            <w:r>
              <w:rPr>
                <w:b/>
                <w:bCs/>
                <w:color w:val="13202B"/>
                <w:sz w:val="19"/>
                <w:szCs w:val="19"/>
              </w:rPr>
              <w:t>Notifications</w:t>
            </w:r>
            <w:r>
              <w:rPr>
                <w:color w:val="13202B"/>
                <w:sz w:val="19"/>
                <w:szCs w:val="19"/>
              </w:rPr>
              <w:t xml:space="preserve"> – In-app and email</w:t>
            </w:r>
          </w:p>
          <w:p w:rsidR="00811116" w:rsidRDefault="001A1334">
            <w:pPr>
              <w:spacing w:after="40"/>
            </w:pPr>
            <w:r>
              <w:rPr>
                <w:b/>
                <w:bCs/>
                <w:color w:val="13202B"/>
                <w:sz w:val="19"/>
                <w:szCs w:val="19"/>
              </w:rPr>
              <w:t>Audit</w:t>
            </w:r>
            <w:r>
              <w:rPr>
                <w:color w:val="13202B"/>
                <w:sz w:val="19"/>
                <w:szCs w:val="19"/>
              </w:rPr>
              <w:t xml:space="preserve"> – Append-only, hash-chained</w:t>
            </w:r>
          </w:p>
          <w:p w:rsidR="00811116" w:rsidRDefault="001A1334">
            <w:pPr>
              <w:spacing w:after="40"/>
            </w:pPr>
            <w:r>
              <w:rPr>
                <w:b/>
                <w:bCs/>
                <w:color w:val="13202B"/>
                <w:sz w:val="19"/>
                <w:szCs w:val="19"/>
              </w:rPr>
              <w:t>Reporting</w:t>
            </w:r>
            <w:r>
              <w:rPr>
                <w:color w:val="13202B"/>
                <w:sz w:val="19"/>
                <w:szCs w:val="19"/>
              </w:rPr>
              <w:t xml:space="preserve"> – Dashboards and exports</w:t>
            </w:r>
          </w:p>
          <w:p w:rsidR="00811116" w:rsidRDefault="001A1334">
            <w:pPr>
              <w:spacing w:after="40"/>
            </w:pPr>
            <w:r>
              <w:rPr>
                <w:b/>
                <w:bCs/>
                <w:color w:val="13202B"/>
                <w:sz w:val="19"/>
                <w:szCs w:val="19"/>
              </w:rPr>
              <w:t>Background jobs</w:t>
            </w:r>
            <w:r>
              <w:rPr>
                <w:color w:val="13202B"/>
                <w:sz w:val="19"/>
                <w:szCs w:val="19"/>
              </w:rPr>
              <w:t xml:space="preserve"> – SLA timers, escalation</w:t>
            </w:r>
          </w:p>
        </w:tc>
      </w:tr>
      <w:tr w:rsidR="00811116">
        <w:trPr>
          <w:cantSplit/>
        </w:trPr>
        <w:tc>
          <w:tcPr>
            <w:tcW w:w="230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13202B"/>
                <w:sz w:val="19"/>
                <w:szCs w:val="19"/>
              </w:rPr>
              <w:t>Provider adapters</w:t>
            </w:r>
          </w:p>
          <w:p w:rsidR="00811116" w:rsidRDefault="001A1334">
            <w:pPr>
              <w:spacing w:after="40"/>
            </w:pPr>
            <w:r>
              <w:rPr>
                <w:color w:val="13202B"/>
                <w:sz w:val="19"/>
                <w:szCs w:val="19"/>
              </w:rPr>
              <w:t>Replaceable by configuration</w:t>
            </w:r>
          </w:p>
        </w:tc>
        <w:tc>
          <w:tcPr>
            <w:tcW w:w="733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sz w:val="19"/>
                <w:szCs w:val="19"/>
              </w:rPr>
              <w:t>Storage</w:t>
            </w:r>
            <w:r>
              <w:rPr>
                <w:color w:val="13202B"/>
                <w:sz w:val="19"/>
                <w:szCs w:val="19"/>
              </w:rPr>
              <w:t xml:space="preserve"> – S3, R2, </w:t>
            </w:r>
            <w:proofErr w:type="spellStart"/>
            <w:r>
              <w:rPr>
                <w:color w:val="13202B"/>
                <w:sz w:val="19"/>
                <w:szCs w:val="19"/>
              </w:rPr>
              <w:t>MinIO</w:t>
            </w:r>
            <w:proofErr w:type="spellEnd"/>
            <w:r>
              <w:rPr>
                <w:color w:val="13202B"/>
                <w:sz w:val="19"/>
                <w:szCs w:val="19"/>
              </w:rPr>
              <w:t>, local</w:t>
            </w:r>
          </w:p>
          <w:p w:rsidR="00811116" w:rsidRDefault="001A1334">
            <w:pPr>
              <w:spacing w:after="40"/>
            </w:pPr>
            <w:r>
              <w:rPr>
                <w:b/>
                <w:bCs/>
                <w:color w:val="13202B"/>
                <w:sz w:val="19"/>
                <w:szCs w:val="19"/>
              </w:rPr>
              <w:t>Secrets and keys</w:t>
            </w:r>
            <w:r>
              <w:rPr>
                <w:color w:val="13202B"/>
                <w:sz w:val="19"/>
                <w:szCs w:val="19"/>
              </w:rPr>
              <w:t xml:space="preserve"> – Vault or cloud KMS</w:t>
            </w:r>
          </w:p>
          <w:p w:rsidR="00811116" w:rsidRDefault="001A1334">
            <w:pPr>
              <w:spacing w:after="40"/>
            </w:pPr>
            <w:r>
              <w:rPr>
                <w:b/>
                <w:bCs/>
                <w:color w:val="13202B"/>
                <w:sz w:val="19"/>
                <w:szCs w:val="19"/>
              </w:rPr>
              <w:t>Email</w:t>
            </w:r>
            <w:r>
              <w:rPr>
                <w:color w:val="13202B"/>
                <w:sz w:val="19"/>
                <w:szCs w:val="19"/>
              </w:rPr>
              <w:t xml:space="preserve"> – SMTP or cloud email</w:t>
            </w:r>
          </w:p>
          <w:p w:rsidR="00811116" w:rsidRDefault="001A1334">
            <w:pPr>
              <w:spacing w:after="40"/>
            </w:pPr>
            <w:r>
              <w:rPr>
                <w:b/>
                <w:bCs/>
                <w:color w:val="13202B"/>
                <w:sz w:val="19"/>
                <w:szCs w:val="19"/>
              </w:rPr>
              <w:t>Queue</w:t>
            </w:r>
            <w:r>
              <w:rPr>
                <w:color w:val="13202B"/>
                <w:sz w:val="19"/>
                <w:szCs w:val="19"/>
              </w:rPr>
              <w:t xml:space="preserve"> – </w:t>
            </w:r>
            <w:proofErr w:type="spellStart"/>
            <w:r>
              <w:rPr>
                <w:color w:val="13202B"/>
                <w:sz w:val="19"/>
                <w:szCs w:val="19"/>
              </w:rPr>
              <w:t>Redis</w:t>
            </w:r>
            <w:proofErr w:type="spellEnd"/>
            <w:r>
              <w:rPr>
                <w:color w:val="13202B"/>
                <w:sz w:val="19"/>
                <w:szCs w:val="19"/>
              </w:rPr>
              <w:t xml:space="preserve"> (</w:t>
            </w:r>
            <w:proofErr w:type="spellStart"/>
            <w:r>
              <w:rPr>
                <w:color w:val="13202B"/>
                <w:sz w:val="19"/>
                <w:szCs w:val="19"/>
              </w:rPr>
              <w:t>BullMQ</w:t>
            </w:r>
            <w:proofErr w:type="spellEnd"/>
            <w:r>
              <w:rPr>
                <w:color w:val="13202B"/>
                <w:sz w:val="19"/>
                <w:szCs w:val="19"/>
              </w:rPr>
              <w:t>)</w:t>
            </w:r>
          </w:p>
          <w:p w:rsidR="00811116" w:rsidRDefault="001A1334">
            <w:pPr>
              <w:spacing w:after="40"/>
            </w:pPr>
            <w:r>
              <w:rPr>
                <w:b/>
                <w:bCs/>
                <w:color w:val="13202B"/>
                <w:sz w:val="19"/>
                <w:szCs w:val="19"/>
              </w:rPr>
              <w:t>Malware scan</w:t>
            </w:r>
            <w:r>
              <w:rPr>
                <w:color w:val="13202B"/>
                <w:sz w:val="19"/>
                <w:szCs w:val="19"/>
              </w:rPr>
              <w:t xml:space="preserve"> – </w:t>
            </w:r>
            <w:proofErr w:type="spellStart"/>
            <w:r>
              <w:rPr>
                <w:color w:val="13202B"/>
                <w:sz w:val="19"/>
                <w:szCs w:val="19"/>
              </w:rPr>
              <w:t>ClamAV</w:t>
            </w:r>
            <w:proofErr w:type="spellEnd"/>
          </w:p>
          <w:p w:rsidR="00811116" w:rsidRDefault="001A1334">
            <w:pPr>
              <w:spacing w:after="40"/>
            </w:pPr>
            <w:r>
              <w:rPr>
                <w:b/>
                <w:bCs/>
                <w:color w:val="13202B"/>
                <w:sz w:val="19"/>
                <w:szCs w:val="19"/>
              </w:rPr>
              <w:t>Verification</w:t>
            </w:r>
            <w:r>
              <w:rPr>
                <w:color w:val="13202B"/>
                <w:sz w:val="19"/>
                <w:szCs w:val="19"/>
              </w:rPr>
              <w:t xml:space="preserve"> – Registry aggregator</w:t>
            </w:r>
          </w:p>
        </w:tc>
      </w:tr>
      <w:tr w:rsidR="00811116">
        <w:trPr>
          <w:cantSplit/>
        </w:trPr>
        <w:tc>
          <w:tcPr>
            <w:tcW w:w="230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13202B"/>
                <w:sz w:val="19"/>
                <w:szCs w:val="19"/>
              </w:rPr>
              <w:t>Data</w:t>
            </w:r>
          </w:p>
          <w:p w:rsidR="00811116" w:rsidRDefault="001A1334">
            <w:pPr>
              <w:spacing w:after="40"/>
            </w:pPr>
            <w:r>
              <w:rPr>
                <w:color w:val="13202B"/>
                <w:sz w:val="19"/>
                <w:szCs w:val="19"/>
              </w:rPr>
              <w:t>Persistent stores</w:t>
            </w:r>
          </w:p>
        </w:tc>
        <w:tc>
          <w:tcPr>
            <w:tcW w:w="733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sz w:val="19"/>
                <w:szCs w:val="19"/>
              </w:rPr>
              <w:t>PostgreS</w:t>
            </w:r>
            <w:r>
              <w:rPr>
                <w:b/>
                <w:bCs/>
                <w:color w:val="13202B"/>
                <w:sz w:val="19"/>
                <w:szCs w:val="19"/>
              </w:rPr>
              <w:t>QL</w:t>
            </w:r>
            <w:r>
              <w:rPr>
                <w:color w:val="13202B"/>
                <w:sz w:val="19"/>
                <w:szCs w:val="19"/>
              </w:rPr>
              <w:t xml:space="preserve"> – Structured data</w:t>
            </w:r>
          </w:p>
          <w:p w:rsidR="00811116" w:rsidRDefault="001A1334">
            <w:pPr>
              <w:spacing w:after="40"/>
            </w:pPr>
            <w:r>
              <w:rPr>
                <w:b/>
                <w:bCs/>
                <w:color w:val="13202B"/>
                <w:sz w:val="19"/>
                <w:szCs w:val="19"/>
              </w:rPr>
              <w:t>Object storage</w:t>
            </w:r>
            <w:r>
              <w:rPr>
                <w:color w:val="13202B"/>
                <w:sz w:val="19"/>
                <w:szCs w:val="19"/>
              </w:rPr>
              <w:t xml:space="preserve"> – Documents</w:t>
            </w:r>
          </w:p>
          <w:p w:rsidR="00811116" w:rsidRDefault="001A1334">
            <w:pPr>
              <w:spacing w:after="40"/>
            </w:pPr>
            <w:proofErr w:type="spellStart"/>
            <w:r>
              <w:rPr>
                <w:b/>
                <w:bCs/>
                <w:color w:val="13202B"/>
                <w:sz w:val="19"/>
                <w:szCs w:val="19"/>
              </w:rPr>
              <w:t>Redis</w:t>
            </w:r>
            <w:proofErr w:type="spellEnd"/>
            <w:r>
              <w:rPr>
                <w:color w:val="13202B"/>
                <w:sz w:val="19"/>
                <w:szCs w:val="19"/>
              </w:rPr>
              <w:t xml:space="preserve"> – Queue and cache</w:t>
            </w:r>
          </w:p>
          <w:p w:rsidR="00811116" w:rsidRDefault="001A1334">
            <w:pPr>
              <w:spacing w:after="40"/>
            </w:pPr>
            <w:r>
              <w:rPr>
                <w:b/>
                <w:bCs/>
                <w:color w:val="13202B"/>
                <w:sz w:val="19"/>
                <w:szCs w:val="19"/>
              </w:rPr>
              <w:t>Key store</w:t>
            </w:r>
            <w:r>
              <w:rPr>
                <w:color w:val="13202B"/>
                <w:sz w:val="19"/>
                <w:szCs w:val="19"/>
              </w:rPr>
              <w:t xml:space="preserve"> – Master key, secrets</w:t>
            </w:r>
          </w:p>
          <w:p w:rsidR="00811116" w:rsidRDefault="001A1334">
            <w:pPr>
              <w:spacing w:after="40"/>
            </w:pPr>
            <w:r>
              <w:rPr>
                <w:b/>
                <w:bCs/>
                <w:color w:val="13202B"/>
                <w:sz w:val="19"/>
                <w:szCs w:val="19"/>
              </w:rPr>
              <w:t>Security (all layers)</w:t>
            </w:r>
            <w:r>
              <w:rPr>
                <w:color w:val="13202B"/>
                <w:sz w:val="19"/>
                <w:szCs w:val="19"/>
              </w:rPr>
              <w:t xml:space="preserve"> – SSO, role checks, field encryption, input validation, secure headers</w:t>
            </w:r>
          </w:p>
          <w:p w:rsidR="00811116" w:rsidRDefault="001A1334">
            <w:pPr>
              <w:spacing w:after="40"/>
            </w:pPr>
            <w:r>
              <w:rPr>
                <w:b/>
                <w:bCs/>
                <w:color w:val="13202B"/>
                <w:sz w:val="19"/>
                <w:szCs w:val="19"/>
              </w:rPr>
              <w:t>Logging and observability (all layers)</w:t>
            </w:r>
            <w:r>
              <w:rPr>
                <w:color w:val="13202B"/>
                <w:sz w:val="19"/>
                <w:szCs w:val="19"/>
              </w:rPr>
              <w:t xml:space="preserve"> – JSON logs with correlation IDs, traces, metrics, health probes</w:t>
            </w:r>
          </w:p>
        </w:tc>
      </w:tr>
      <w:tr w:rsidR="00811116">
        <w:trPr>
          <w:cantSplit/>
        </w:trPr>
        <w:tc>
          <w:tcPr>
            <w:tcW w:w="2300" w:type="dxa"/>
            <w:tcBorders>
              <w:top w:val="single" w:sz="4" w:space="0" w:color="C9D3DB"/>
              <w:left w:val="single" w:sz="4" w:space="0" w:color="C9D3DB"/>
              <w:bottom w:val="single" w:sz="4" w:space="0" w:color="C9D3DB"/>
              <w:right w:val="single" w:sz="4" w:space="0" w:color="C9D3DB"/>
            </w:tcBorders>
            <w:shd w:val="clear" w:color="auto" w:fill="F3F0FA"/>
            <w:tcMar>
              <w:top w:w="70" w:type="dxa"/>
              <w:left w:w="110" w:type="dxa"/>
              <w:bottom w:w="70" w:type="dxa"/>
              <w:right w:w="110" w:type="dxa"/>
            </w:tcMar>
          </w:tcPr>
          <w:p w:rsidR="00811116" w:rsidRDefault="001A1334">
            <w:pPr>
              <w:spacing w:after="40"/>
            </w:pPr>
            <w:r>
              <w:rPr>
                <w:b/>
                <w:bCs/>
                <w:color w:val="13202B"/>
                <w:sz w:val="19"/>
                <w:szCs w:val="19"/>
              </w:rPr>
              <w:t>Across all layers</w:t>
            </w:r>
          </w:p>
        </w:tc>
        <w:tc>
          <w:tcPr>
            <w:tcW w:w="733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sz w:val="19"/>
                <w:szCs w:val="19"/>
              </w:rPr>
              <w:t>Security (all layers)</w:t>
            </w:r>
            <w:r>
              <w:rPr>
                <w:color w:val="13202B"/>
                <w:sz w:val="19"/>
                <w:szCs w:val="19"/>
              </w:rPr>
              <w:t xml:space="preserve"> – SSO, role checks, field encryption, input validation, secure headers</w:t>
            </w:r>
          </w:p>
          <w:p w:rsidR="00811116" w:rsidRDefault="001A1334">
            <w:pPr>
              <w:spacing w:after="40"/>
            </w:pPr>
            <w:r>
              <w:rPr>
                <w:b/>
                <w:bCs/>
                <w:color w:val="13202B"/>
                <w:sz w:val="19"/>
                <w:szCs w:val="19"/>
              </w:rPr>
              <w:t>Logging and observability (all layers)</w:t>
            </w:r>
            <w:r>
              <w:rPr>
                <w:color w:val="13202B"/>
                <w:sz w:val="19"/>
                <w:szCs w:val="19"/>
              </w:rPr>
              <w:t xml:space="preserve"> – JSON logs with correlation IDs, traces, metrics, health probes</w:t>
            </w:r>
          </w:p>
        </w:tc>
      </w:tr>
    </w:tbl>
    <w:p w:rsidR="00811116" w:rsidRDefault="001A1334">
      <w:pPr>
        <w:spacing w:before="80" w:after="160"/>
      </w:pPr>
      <w:r>
        <w:rPr>
          <w:i/>
          <w:iCs/>
          <w:color w:val="5D6C78"/>
          <w:sz w:val="19"/>
          <w:szCs w:val="19"/>
        </w:rPr>
        <w:t>Figure 2. Layers from the user's browser down to storage. Dashed boxes are concerns that apply to every layer.</w:t>
      </w:r>
    </w:p>
    <w:p w:rsidR="00811116" w:rsidRDefault="001A1334">
      <w:pPr>
        <w:pStyle w:val="Heading1"/>
        <w:keepNext/>
        <w:spacing w:before="360" w:after="120"/>
      </w:pPr>
      <w:r>
        <w:rPr>
          <w:b/>
          <w:bCs/>
          <w:color w:val="0B5F8A"/>
          <w:sz w:val="34"/>
          <w:szCs w:val="34"/>
        </w:rPr>
        <w:t>4   Data and process flow</w:t>
      </w:r>
    </w:p>
    <w:p w:rsidR="00811116" w:rsidRDefault="001A1334">
      <w:pPr>
        <w:spacing w:after="120" w:line="288" w:lineRule="auto"/>
        <w:sectPr w:rsidR="00811116">
          <w:footerReference w:type="default" r:id="rId10"/>
          <w:pgSz w:w="11906" w:h="16838"/>
          <w:pgMar w:top="1134" w:right="1134" w:bottom="1134" w:left="1134" w:header="708" w:footer="708" w:gutter="0"/>
          <w:cols w:space="720"/>
          <w:docGrid w:linePitch="360"/>
        </w:sectPr>
      </w:pPr>
      <w:r>
        <w:rPr>
          <w:color w:val="13202B"/>
        </w:rPr>
        <w:t xml:space="preserve">A vendor case moves through one submission, a set of parallel reviews and one final confirmation. A reviewer who sends a case back reopens only that review stage; the </w:t>
      </w:r>
      <w:r>
        <w:rPr>
          <w:color w:val="13202B"/>
        </w:rPr>
        <w:t>others keep their result.</w:t>
      </w:r>
    </w:p>
    <w:p w:rsidR="00811116" w:rsidRDefault="001A1334">
      <w:pPr>
        <w:spacing w:after="120"/>
      </w:pPr>
      <w:r>
        <w:rPr>
          <w:noProof/>
        </w:rPr>
        <w:lastRenderedPageBreak/>
        <w:drawing>
          <wp:inline distT="0" distB="0" distL="0" distR="0">
            <wp:extent cx="9144000" cy="3905250"/>
            <wp:effectExtent l="0" t="0" r="0" b="0"/>
            <wp:docPr id="2" name="diagram" descr="Figure 3. Case lifecycle. Solid arrows are the forward path; the dashed arrow is the return loop. Rejection by any reviewer ends the cas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144000" cy="3905250"/>
                    </a:xfrm>
                    <a:prstGeom prst="rect">
                      <a:avLst/>
                    </a:prstGeom>
                  </pic:spPr>
                </pic:pic>
              </a:graphicData>
            </a:graphic>
          </wp:inline>
        </w:drawing>
      </w:r>
    </w:p>
    <w:p w:rsidR="00811116" w:rsidRDefault="001A1334">
      <w:pPr>
        <w:spacing w:after="60"/>
        <w:sectPr w:rsidR="00811116">
          <w:footerReference w:type="default" r:id="rId12"/>
          <w:pgSz w:w="16838" w:h="11906" w:orient="landscape"/>
          <w:pgMar w:top="1134" w:right="1134" w:bottom="1134" w:left="1134" w:header="708" w:footer="708" w:gutter="0"/>
          <w:cols w:space="720"/>
          <w:docGrid w:linePitch="360"/>
        </w:sectPr>
      </w:pPr>
      <w:r>
        <w:rPr>
          <w:i/>
          <w:iCs/>
          <w:color w:val="5D6C78"/>
          <w:sz w:val="19"/>
          <w:szCs w:val="19"/>
        </w:rPr>
        <w:t>Figure 3. Case lifecycle. Solid arrows are the forward path; the dashed arrow is the return loop. Rejection by any reviewer ends the case</w:t>
      </w:r>
      <w:r>
        <w:rPr>
          <w:i/>
          <w:iCs/>
          <w:color w:val="5D6C78"/>
          <w:sz w:val="19"/>
          <w:szCs w:val="19"/>
        </w:rPr>
        <w:t>.</w:t>
      </w:r>
    </w:p>
    <w:p w:rsidR="00811116" w:rsidRDefault="001A1334">
      <w:pPr>
        <w:pStyle w:val="Heading2"/>
        <w:keepNext/>
        <w:spacing w:before="240" w:after="100"/>
      </w:pPr>
      <w:r>
        <w:rPr>
          <w:b/>
          <w:bCs/>
          <w:color w:val="13202B"/>
          <w:sz w:val="25"/>
          <w:szCs w:val="25"/>
        </w:rPr>
        <w:lastRenderedPageBreak/>
        <w:t>What happens to the data at each step</w:t>
      </w:r>
    </w:p>
    <w:p w:rsidR="00811116" w:rsidRDefault="001A1334">
      <w:pPr>
        <w:pStyle w:val="ListParagraph"/>
        <w:numPr>
          <w:ilvl w:val="0"/>
          <w:numId w:val="2"/>
        </w:numPr>
        <w:spacing w:after="80" w:line="276" w:lineRule="auto"/>
      </w:pPr>
      <w:r>
        <w:rPr>
          <w:b/>
          <w:bCs/>
          <w:color w:val="13202B"/>
        </w:rPr>
        <w:t>Intake.</w:t>
      </w:r>
      <w:r>
        <w:rPr>
          <w:color w:val="13202B"/>
        </w:rPr>
        <w:t xml:space="preserve"> The proposer's form is sent over HTTPS to the API. Input is validated on the server. PAN, bank account number and signatory PAN are encrypted before they reach the database, and a keyed hash is stored alongsi</w:t>
      </w:r>
      <w:r>
        <w:rPr>
          <w:color w:val="13202B"/>
        </w:rPr>
        <w:t>de so duplicates can be found without decrypting.</w:t>
      </w:r>
    </w:p>
    <w:p w:rsidR="00811116" w:rsidRDefault="001A1334">
      <w:pPr>
        <w:pStyle w:val="ListParagraph"/>
        <w:numPr>
          <w:ilvl w:val="0"/>
          <w:numId w:val="2"/>
        </w:numPr>
        <w:spacing w:after="80" w:line="276" w:lineRule="auto"/>
      </w:pPr>
      <w:r>
        <w:rPr>
          <w:b/>
          <w:bCs/>
          <w:color w:val="13202B"/>
        </w:rPr>
        <w:t>Documents.</w:t>
      </w:r>
      <w:r>
        <w:rPr>
          <w:color w:val="13202B"/>
        </w:rPr>
        <w:t xml:space="preserve"> Each upload is checked by file signature, scanned for malware, fingerprinted with SHA-256 and written to object storage under a random key. An infected file is rejected and never stored. The orig</w:t>
      </w:r>
      <w:r>
        <w:rPr>
          <w:color w:val="13202B"/>
        </w:rPr>
        <w:t>inal filename is kept only in the database.</w:t>
      </w:r>
    </w:p>
    <w:p w:rsidR="00811116" w:rsidRDefault="001A1334">
      <w:pPr>
        <w:pStyle w:val="ListParagraph"/>
        <w:numPr>
          <w:ilvl w:val="0"/>
          <w:numId w:val="2"/>
        </w:numPr>
        <w:spacing w:after="80" w:line="276" w:lineRule="auto"/>
      </w:pPr>
      <w:r>
        <w:rPr>
          <w:b/>
          <w:bCs/>
          <w:color w:val="13202B"/>
        </w:rPr>
        <w:t>Verification.</w:t>
      </w:r>
      <w:r>
        <w:rPr>
          <w:color w:val="13202B"/>
        </w:rPr>
        <w:t xml:space="preserve"> The API calls the registry service for PAN, GST and bank checks, compares names, and evaluates red-flag rules. If the registry is unavailable the case continues and the check is marked pending. The response is stored encrypted.</w:t>
      </w:r>
    </w:p>
    <w:p w:rsidR="00811116" w:rsidRDefault="001A1334">
      <w:pPr>
        <w:pStyle w:val="ListParagraph"/>
        <w:numPr>
          <w:ilvl w:val="0"/>
          <w:numId w:val="2"/>
        </w:numPr>
        <w:spacing w:after="80" w:line="276" w:lineRule="auto"/>
      </w:pPr>
      <w:r>
        <w:rPr>
          <w:b/>
          <w:bCs/>
          <w:color w:val="13202B"/>
        </w:rPr>
        <w:t>Routing.</w:t>
      </w:r>
      <w:r>
        <w:rPr>
          <w:color w:val="13202B"/>
        </w:rPr>
        <w:t xml:space="preserve"> The workflow engin</w:t>
      </w:r>
      <w:r>
        <w:rPr>
          <w:color w:val="13202B"/>
        </w:rPr>
        <w:t>e picks the stages from the risk tier and the information-security answers, notifies each reviewing team, and starts the SLA timers.</w:t>
      </w:r>
    </w:p>
    <w:p w:rsidR="00811116" w:rsidRDefault="001A1334">
      <w:pPr>
        <w:pStyle w:val="ListParagraph"/>
        <w:numPr>
          <w:ilvl w:val="0"/>
          <w:numId w:val="2"/>
        </w:numPr>
        <w:spacing w:after="80" w:line="276" w:lineRule="auto"/>
      </w:pPr>
      <w:r>
        <w:rPr>
          <w:b/>
          <w:bCs/>
          <w:color w:val="13202B"/>
        </w:rPr>
        <w:t>Review.</w:t>
      </w:r>
      <w:r>
        <w:rPr>
          <w:color w:val="13202B"/>
        </w:rPr>
        <w:t xml:space="preserve"> Reviewers approve, reject or return their own stage with a remark. Every action writes an audit entry linked to the</w:t>
      </w:r>
      <w:r>
        <w:rPr>
          <w:color w:val="13202B"/>
        </w:rPr>
        <w:t xml:space="preserve"> one before it.</w:t>
      </w:r>
    </w:p>
    <w:p w:rsidR="00811116" w:rsidRDefault="001A1334">
      <w:pPr>
        <w:pStyle w:val="ListParagraph"/>
        <w:numPr>
          <w:ilvl w:val="0"/>
          <w:numId w:val="2"/>
        </w:numPr>
        <w:spacing w:after="80" w:line="276" w:lineRule="auto"/>
      </w:pPr>
      <w:r>
        <w:rPr>
          <w:b/>
          <w:bCs/>
          <w:color w:val="13202B"/>
        </w:rPr>
        <w:t>Activation.</w:t>
      </w:r>
      <w:r>
        <w:rPr>
          <w:color w:val="13202B"/>
        </w:rPr>
        <w:t xml:space="preserve"> When every active review has approved, SAP confirmation completes the case. The platform sends the vendor to the ERP once (safe to retry) and notifies the proposer.</w:t>
      </w:r>
    </w:p>
    <w:p w:rsidR="00811116" w:rsidRDefault="001A1334">
      <w:pPr>
        <w:pStyle w:val="Heading1"/>
        <w:keepNext/>
        <w:spacing w:before="360" w:after="120"/>
      </w:pPr>
      <w:r>
        <w:rPr>
          <w:b/>
          <w:bCs/>
          <w:color w:val="0B5F8A"/>
          <w:sz w:val="34"/>
          <w:szCs w:val="34"/>
        </w:rPr>
        <w:t>5   Data storage</w:t>
      </w:r>
    </w:p>
    <w:p w:rsidR="00811116" w:rsidRDefault="001A1334">
      <w:pPr>
        <w:spacing w:after="120" w:line="288" w:lineRule="auto"/>
      </w:pPr>
      <w:r>
        <w:rPr>
          <w:color w:val="13202B"/>
        </w:rPr>
        <w:t>Structured data and files are stored separatel</w:t>
      </w:r>
      <w:r>
        <w:rPr>
          <w:color w:val="13202B"/>
        </w:rPr>
        <w:t>y, each in a component the client can choose and operate to its own standards.</w:t>
      </w:r>
    </w:p>
    <w:p w:rsidR="00811116" w:rsidRDefault="001A1334">
      <w:pPr>
        <w:pStyle w:val="Heading2"/>
        <w:keepNext/>
        <w:spacing w:before="240" w:after="100"/>
      </w:pPr>
      <w:r>
        <w:rPr>
          <w:b/>
          <w:bCs/>
          <w:color w:val="13202B"/>
          <w:sz w:val="25"/>
          <w:szCs w:val="25"/>
        </w:rPr>
        <w:t>Structured data: PostgreSQL</w:t>
      </w:r>
    </w:p>
    <w:p w:rsidR="00811116" w:rsidRDefault="001A1334">
      <w:pPr>
        <w:spacing w:after="120" w:line="288" w:lineRule="auto"/>
      </w:pPr>
      <w:r>
        <w:rPr>
          <w:color w:val="13202B"/>
        </w:rPr>
        <w:t>PostgreSQL 15 or later is the system of record. It can run as a managed service (Amazon RDS or Aurora PostgreSQL, Azure Database for PostgreSQL, Goog</w:t>
      </w:r>
      <w:r>
        <w:rPr>
          <w:color w:val="13202B"/>
        </w:rPr>
        <w:t>le Cloud SQL) or self-hosted. Schema changes are versioned and applied by a migration job before each release.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3855"/>
        <w:gridCol w:w="3856"/>
      </w:tblGrid>
      <w:tr w:rsidR="00811116">
        <w:trPr>
          <w:tblHeader/>
        </w:trPr>
        <w:tc>
          <w:tcPr>
            <w:tcW w:w="1927"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DATA</w:t>
            </w:r>
          </w:p>
        </w:tc>
        <w:tc>
          <w:tcPr>
            <w:tcW w:w="3855"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EXAMPLES</w:t>
            </w:r>
          </w:p>
        </w:tc>
        <w:tc>
          <w:tcPr>
            <w:tcW w:w="3856"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PROTECTION</w:t>
            </w:r>
          </w:p>
        </w:tc>
      </w:tr>
      <w:tr w:rsidR="00811116">
        <w:trPr>
          <w:cantSplit/>
        </w:trPr>
        <w:tc>
          <w:tcPr>
            <w:tcW w:w="1927"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Identity and access</w:t>
            </w:r>
          </w:p>
        </w:tc>
        <w:tc>
          <w:tcPr>
            <w:tcW w:w="385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Users, roles, permissions, sessions, delegations</w:t>
            </w:r>
          </w:p>
        </w:tc>
        <w:tc>
          <w:tcPr>
            <w:tcW w:w="385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Session tokens stored as hashes; sessions revoked on logout, role change or deactivation</w:t>
            </w:r>
          </w:p>
        </w:tc>
      </w:tr>
      <w:tr w:rsidR="00811116">
        <w:trPr>
          <w:cantSplit/>
        </w:trPr>
        <w:tc>
          <w:tcPr>
            <w:tcW w:w="1927"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Vendor cases</w:t>
            </w:r>
          </w:p>
        </w:tc>
        <w:tc>
          <w:tcPr>
            <w:tcW w:w="385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Case header, general details, one table per review stage, checklists, comments, activity</w:t>
            </w:r>
          </w:p>
        </w:tc>
        <w:tc>
          <w:tcPr>
            <w:tcW w:w="385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PAN, bank account and signatory PAN encrypted per field; keyed hashes for duplicate search</w:t>
            </w:r>
          </w:p>
        </w:tc>
      </w:tr>
      <w:tr w:rsidR="00811116">
        <w:trPr>
          <w:cantSplit/>
        </w:trPr>
        <w:tc>
          <w:tcPr>
            <w:tcW w:w="1927"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Verification results</w:t>
            </w:r>
          </w:p>
        </w:tc>
        <w:tc>
          <w:tcPr>
            <w:tcW w:w="385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Registry responses and cross-checks</w:t>
            </w:r>
          </w:p>
        </w:tc>
        <w:tc>
          <w:tcPr>
            <w:tcW w:w="385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Payloads encrypted at rest</w:t>
            </w:r>
          </w:p>
        </w:tc>
      </w:tr>
      <w:tr w:rsidR="00811116">
        <w:trPr>
          <w:cantSplit/>
        </w:trPr>
        <w:tc>
          <w:tcPr>
            <w:tcW w:w="1927"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Configuration</w:t>
            </w:r>
          </w:p>
        </w:tc>
        <w:tc>
          <w:tcPr>
            <w:tcW w:w="385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Workflow versions, categories, SLA settings, identity provider se</w:t>
            </w:r>
            <w:r>
              <w:rPr>
                <w:color w:val="13202B"/>
                <w:sz w:val="19"/>
                <w:szCs w:val="19"/>
              </w:rPr>
              <w:t>ttings</w:t>
            </w:r>
          </w:p>
        </w:tc>
        <w:tc>
          <w:tcPr>
            <w:tcW w:w="385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Published workflow versions are immutable</w:t>
            </w:r>
          </w:p>
        </w:tc>
      </w:tr>
      <w:tr w:rsidR="00811116">
        <w:trPr>
          <w:cantSplit/>
        </w:trPr>
        <w:tc>
          <w:tcPr>
            <w:tcW w:w="1927"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Audit log</w:t>
            </w:r>
          </w:p>
        </w:tc>
        <w:tc>
          <w:tcPr>
            <w:tcW w:w="385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Who did what, when, from where, outcome</w:t>
            </w:r>
          </w:p>
        </w:tc>
        <w:tc>
          <w:tcPr>
            <w:tcW w:w="385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Append-only, each row hashed with the previous row; the application database role cannot update or delete it</w:t>
            </w:r>
          </w:p>
        </w:tc>
      </w:tr>
    </w:tbl>
    <w:p w:rsidR="00811116" w:rsidRDefault="00811116">
      <w:pPr>
        <w:spacing w:after="120"/>
      </w:pPr>
    </w:p>
    <w:p w:rsidR="00811116" w:rsidRDefault="001A1334">
      <w:pPr>
        <w:pStyle w:val="Heading2"/>
        <w:keepNext/>
        <w:spacing w:before="240" w:after="100"/>
      </w:pPr>
      <w:r>
        <w:rPr>
          <w:b/>
          <w:bCs/>
          <w:color w:val="13202B"/>
          <w:sz w:val="25"/>
          <w:szCs w:val="25"/>
        </w:rPr>
        <w:t>Documents: object storage, chosen by the client</w:t>
      </w:r>
    </w:p>
    <w:p w:rsidR="00811116" w:rsidRDefault="001A1334">
      <w:pPr>
        <w:spacing w:after="120" w:line="288" w:lineRule="auto"/>
      </w:pPr>
      <w:r>
        <w:rPr>
          <w:color w:val="13202B"/>
        </w:rPr>
        <w:t xml:space="preserve">Documents such as PAN cards, GST certificates, cancelled cheques and FCU reports go to an object store behind a single storage interface. If the client already runs Amazon S3, </w:t>
      </w:r>
      <w:r w:rsidR="00A6374B">
        <w:rPr>
          <w:color w:val="13202B"/>
        </w:rPr>
        <w:t>VOMT</w:t>
      </w:r>
      <w:r>
        <w:rPr>
          <w:color w:val="13202B"/>
        </w:rPr>
        <w:t xml:space="preserve"> uses that bucket directly an</w:t>
      </w:r>
      <w:r>
        <w:rPr>
          <w:color w:val="13202B"/>
        </w:rPr>
        <w:t>d no other storage service is needed.</w:t>
      </w:r>
    </w:p>
    <w:p w:rsidR="00811116" w:rsidRDefault="001A1334">
      <w:pPr>
        <w:keepNext/>
        <w:spacing w:before="100" w:after="30"/>
      </w:pPr>
      <w:r>
        <w:rPr>
          <w:b/>
          <w:bCs/>
          <w:color w:val="13202B"/>
          <w:sz w:val="22"/>
          <w:szCs w:val="22"/>
        </w:rPr>
        <w:lastRenderedPageBreak/>
        <w:t>Amazon S3</w:t>
      </w:r>
      <w:r>
        <w:rPr>
          <w:b/>
          <w:bCs/>
          <w:color w:val="0F7B6C"/>
          <w:sz w:val="19"/>
          <w:szCs w:val="19"/>
        </w:rPr>
        <w:t xml:space="preserve">   (Preferred when the client has AWS)</w:t>
      </w:r>
    </w:p>
    <w:p w:rsidR="00811116" w:rsidRDefault="001A1334">
      <w:pPr>
        <w:spacing w:after="120" w:line="288" w:lineRule="auto"/>
        <w:ind w:left="240"/>
      </w:pPr>
      <w:r>
        <w:rPr>
          <w:color w:val="13202B"/>
        </w:rPr>
        <w:t>The client's own bucket and account. Use a private bucket, server-side encryption (SSE-KMS), versioning and an IAM role limited to this bucket.</w:t>
      </w:r>
    </w:p>
    <w:p w:rsidR="00811116" w:rsidRDefault="001A1334">
      <w:pPr>
        <w:keepNext/>
        <w:spacing w:before="100" w:after="30"/>
      </w:pPr>
      <w:r>
        <w:rPr>
          <w:b/>
          <w:bCs/>
          <w:color w:val="13202B"/>
          <w:sz w:val="22"/>
          <w:szCs w:val="22"/>
        </w:rPr>
        <w:t>On-premises object store (</w:t>
      </w:r>
      <w:proofErr w:type="spellStart"/>
      <w:r>
        <w:rPr>
          <w:b/>
          <w:bCs/>
          <w:color w:val="13202B"/>
          <w:sz w:val="22"/>
          <w:szCs w:val="22"/>
        </w:rPr>
        <w:t>MinIO</w:t>
      </w:r>
      <w:proofErr w:type="spellEnd"/>
      <w:r>
        <w:rPr>
          <w:b/>
          <w:bCs/>
          <w:color w:val="13202B"/>
          <w:sz w:val="22"/>
          <w:szCs w:val="22"/>
        </w:rPr>
        <w:t>)</w:t>
      </w:r>
    </w:p>
    <w:p w:rsidR="00811116" w:rsidRDefault="001A1334">
      <w:pPr>
        <w:spacing w:after="120" w:line="288" w:lineRule="auto"/>
        <w:ind w:left="240"/>
      </w:pPr>
      <w:r>
        <w:rPr>
          <w:color w:val="13202B"/>
        </w:rPr>
        <w:t>For data-centre deployments with no public cloud. S3-compatible, runs inside the client network.</w:t>
      </w:r>
    </w:p>
    <w:p w:rsidR="00811116" w:rsidRDefault="001A1334">
      <w:pPr>
        <w:keepNext/>
        <w:spacing w:before="100" w:after="30"/>
      </w:pPr>
      <w:proofErr w:type="spellStart"/>
      <w:r>
        <w:rPr>
          <w:b/>
          <w:bCs/>
          <w:color w:val="13202B"/>
          <w:sz w:val="22"/>
          <w:szCs w:val="22"/>
        </w:rPr>
        <w:t>Cloudflare</w:t>
      </w:r>
      <w:proofErr w:type="spellEnd"/>
      <w:r>
        <w:rPr>
          <w:b/>
          <w:bCs/>
          <w:color w:val="13202B"/>
          <w:sz w:val="22"/>
          <w:szCs w:val="22"/>
        </w:rPr>
        <w:t xml:space="preserve"> R2</w:t>
      </w:r>
    </w:p>
    <w:p w:rsidR="00811116" w:rsidRDefault="001A1334">
      <w:pPr>
        <w:spacing w:after="120" w:line="288" w:lineRule="auto"/>
        <w:ind w:left="240"/>
      </w:pPr>
      <w:r>
        <w:rPr>
          <w:color w:val="13202B"/>
        </w:rPr>
        <w:t>S3-compatible, no egress fees. Suited to cloud deployments outside AWS.</w:t>
      </w:r>
    </w:p>
    <w:p w:rsidR="00811116" w:rsidRDefault="001A1334">
      <w:pPr>
        <w:keepNext/>
        <w:spacing w:before="100" w:after="30"/>
      </w:pPr>
      <w:r>
        <w:rPr>
          <w:b/>
          <w:bCs/>
          <w:color w:val="13202B"/>
          <w:sz w:val="22"/>
          <w:szCs w:val="22"/>
        </w:rPr>
        <w:t>Azure Blob / Google Cloud Storage</w:t>
      </w:r>
    </w:p>
    <w:p w:rsidR="00811116" w:rsidRDefault="001A1334">
      <w:pPr>
        <w:spacing w:after="120" w:line="288" w:lineRule="auto"/>
        <w:ind w:left="240"/>
      </w:pPr>
      <w:r>
        <w:rPr>
          <w:color w:val="13202B"/>
        </w:rPr>
        <w:t>Planned adapters, built when the</w:t>
      </w:r>
      <w:r>
        <w:rPr>
          <w:color w:val="13202B"/>
        </w:rPr>
        <w:t xml:space="preserve"> client's cloud is confirmed.</w:t>
      </w:r>
    </w:p>
    <w:p w:rsidR="00811116" w:rsidRDefault="001A1334">
      <w:pPr>
        <w:spacing w:after="120" w:line="288" w:lineRule="auto"/>
      </w:pPr>
      <w:r>
        <w:rPr>
          <w:color w:val="13202B"/>
        </w:rPr>
        <w:t>The choice is a configuration setting, not a code change. For Amazon S3 it looks like this:</w:t>
      </w:r>
    </w:p>
    <w:p w:rsidR="00811116" w:rsidRDefault="00A6374B">
      <w:pPr>
        <w:shd w:val="clear" w:color="auto" w:fill="F1F4F7"/>
      </w:pPr>
      <w:r>
        <w:rPr>
          <w:rFonts w:ascii="Consolas" w:eastAsia="Consolas" w:hAnsi="Consolas" w:cs="Consolas"/>
          <w:sz w:val="18"/>
          <w:szCs w:val="18"/>
        </w:rPr>
        <w:t>VOMT</w:t>
      </w:r>
      <w:r w:rsidR="001A1334">
        <w:rPr>
          <w:rFonts w:ascii="Consolas" w:eastAsia="Consolas" w:hAnsi="Consolas" w:cs="Consolas"/>
          <w:sz w:val="18"/>
          <w:szCs w:val="18"/>
        </w:rPr>
        <w:t>_STORAGE_DRIVER=s3</w:t>
      </w:r>
    </w:p>
    <w:p w:rsidR="00811116" w:rsidRDefault="00A6374B">
      <w:pPr>
        <w:shd w:val="clear" w:color="auto" w:fill="F1F4F7"/>
      </w:pPr>
      <w:r>
        <w:rPr>
          <w:rFonts w:ascii="Consolas" w:eastAsia="Consolas" w:hAnsi="Consolas" w:cs="Consolas"/>
          <w:sz w:val="18"/>
          <w:szCs w:val="18"/>
        </w:rPr>
        <w:t>VOMT</w:t>
      </w:r>
      <w:r w:rsidR="001A1334">
        <w:rPr>
          <w:rFonts w:ascii="Consolas" w:eastAsia="Consolas" w:hAnsi="Consolas" w:cs="Consolas"/>
          <w:sz w:val="18"/>
          <w:szCs w:val="18"/>
        </w:rPr>
        <w:t>_STORAGE_ENDPOINT=https://s3.ap-south-1.amazonaws.com</w:t>
      </w:r>
    </w:p>
    <w:p w:rsidR="00811116" w:rsidRDefault="00A6374B">
      <w:pPr>
        <w:shd w:val="clear" w:color="auto" w:fill="F1F4F7"/>
      </w:pPr>
      <w:r>
        <w:rPr>
          <w:rFonts w:ascii="Consolas" w:eastAsia="Consolas" w:hAnsi="Consolas" w:cs="Consolas"/>
          <w:sz w:val="18"/>
          <w:szCs w:val="18"/>
        </w:rPr>
        <w:t>VOMT</w:t>
      </w:r>
      <w:r w:rsidR="001A1334">
        <w:rPr>
          <w:rFonts w:ascii="Consolas" w:eastAsia="Consolas" w:hAnsi="Consolas" w:cs="Consolas"/>
          <w:sz w:val="18"/>
          <w:szCs w:val="18"/>
        </w:rPr>
        <w:t>_STORAGE_BUCKET=&lt;client bucket name&gt;</w:t>
      </w:r>
    </w:p>
    <w:p w:rsidR="00811116" w:rsidRDefault="00A6374B">
      <w:pPr>
        <w:shd w:val="clear" w:color="auto" w:fill="F1F4F7"/>
      </w:pPr>
      <w:r>
        <w:rPr>
          <w:rFonts w:ascii="Consolas" w:eastAsia="Consolas" w:hAnsi="Consolas" w:cs="Consolas"/>
          <w:sz w:val="18"/>
          <w:szCs w:val="18"/>
        </w:rPr>
        <w:t>VOMT</w:t>
      </w:r>
      <w:r w:rsidR="001A1334">
        <w:rPr>
          <w:rFonts w:ascii="Consolas" w:eastAsia="Consolas" w:hAnsi="Consolas" w:cs="Consolas"/>
          <w:sz w:val="18"/>
          <w:szCs w:val="18"/>
        </w:rPr>
        <w:t>_STORAGE_REG</w:t>
      </w:r>
      <w:r w:rsidR="001A1334">
        <w:rPr>
          <w:rFonts w:ascii="Consolas" w:eastAsia="Consolas" w:hAnsi="Consolas" w:cs="Consolas"/>
          <w:sz w:val="18"/>
          <w:szCs w:val="18"/>
        </w:rPr>
        <w:t>ION=ap-south-1</w:t>
      </w:r>
    </w:p>
    <w:p w:rsidR="00811116" w:rsidRDefault="001A1334">
      <w:pPr>
        <w:shd w:val="clear" w:color="auto" w:fill="F1F4F7"/>
      </w:pPr>
      <w:r>
        <w:rPr>
          <w:rFonts w:ascii="Consolas" w:eastAsia="Consolas" w:hAnsi="Consolas" w:cs="Consolas"/>
          <w:sz w:val="18"/>
          <w:szCs w:val="18"/>
        </w:rPr>
        <w:t># Credentials come from the secrets store, not from the code or image</w:t>
      </w:r>
    </w:p>
    <w:p w:rsidR="00811116" w:rsidRDefault="00811116">
      <w:pPr>
        <w:spacing w:after="120"/>
      </w:pPr>
    </w:p>
    <w:p w:rsidR="00811116" w:rsidRDefault="001A1334">
      <w:pPr>
        <w:pStyle w:val="ListParagraph"/>
        <w:numPr>
          <w:ilvl w:val="0"/>
          <w:numId w:val="3"/>
        </w:numPr>
        <w:spacing w:after="60" w:line="276" w:lineRule="auto"/>
      </w:pPr>
      <w:r>
        <w:rPr>
          <w:color w:val="13202B"/>
        </w:rPr>
        <w:t>Files are saved under random keys, never user-supplied names, and are served only through the API after a permission check. Each download is audited.</w:t>
      </w:r>
    </w:p>
    <w:p w:rsidR="00811116" w:rsidRDefault="001A1334">
      <w:pPr>
        <w:pStyle w:val="ListParagraph"/>
        <w:numPr>
          <w:ilvl w:val="0"/>
          <w:numId w:val="3"/>
        </w:numPr>
        <w:spacing w:after="60" w:line="276" w:lineRule="auto"/>
      </w:pPr>
      <w:r>
        <w:rPr>
          <w:color w:val="13202B"/>
        </w:rPr>
        <w:t>Recommended bucket s</w:t>
      </w:r>
      <w:r>
        <w:rPr>
          <w:color w:val="13202B"/>
        </w:rPr>
        <w:t>ettings: block all public access, encryption at rest, versioning, and a lifecycle rule that matches the client's retention period (8 years by default).</w:t>
      </w:r>
    </w:p>
    <w:p w:rsidR="00811116" w:rsidRDefault="001A1334">
      <w:pPr>
        <w:pStyle w:val="ListParagraph"/>
        <w:numPr>
          <w:ilvl w:val="0"/>
          <w:numId w:val="3"/>
        </w:numPr>
        <w:spacing w:after="60" w:line="276" w:lineRule="auto"/>
      </w:pPr>
      <w:r>
        <w:rPr>
          <w:color w:val="13202B"/>
        </w:rPr>
        <w:t>The bucket region is set to an Indian region to meet data-residency requirements.</w:t>
      </w:r>
    </w:p>
    <w:p w:rsidR="00811116" w:rsidRDefault="00811116">
      <w:pPr>
        <w:spacing w:after="60"/>
      </w:pPr>
    </w:p>
    <w:p w:rsidR="00811116" w:rsidRDefault="001A1334">
      <w:pPr>
        <w:pStyle w:val="Heading2"/>
        <w:keepNext/>
        <w:spacing w:before="240" w:after="100"/>
      </w:pPr>
      <w:r>
        <w:rPr>
          <w:b/>
          <w:bCs/>
          <w:color w:val="13202B"/>
          <w:sz w:val="25"/>
          <w:szCs w:val="25"/>
        </w:rPr>
        <w:t>Supporting stores</w:t>
      </w:r>
    </w:p>
    <w:p w:rsidR="00811116" w:rsidRDefault="001A1334">
      <w:pPr>
        <w:spacing w:after="120" w:line="288" w:lineRule="auto"/>
      </w:pPr>
      <w:proofErr w:type="spellStart"/>
      <w:r>
        <w:rPr>
          <w:b/>
          <w:bCs/>
          <w:color w:val="13202B"/>
        </w:rPr>
        <w:t>Redis</w:t>
      </w:r>
      <w:proofErr w:type="spellEnd"/>
      <w:r>
        <w:rPr>
          <w:color w:val="13202B"/>
        </w:rPr>
        <w:t xml:space="preserve"> carries the background job queue and short-lived cache; it holds no data that cannot be rebuilt. </w:t>
      </w:r>
      <w:r>
        <w:rPr>
          <w:b/>
          <w:bCs/>
          <w:color w:val="13202B"/>
        </w:rPr>
        <w:t>The secrets and key store</w:t>
      </w:r>
      <w:r>
        <w:rPr>
          <w:color w:val="13202B"/>
        </w:rPr>
        <w:t xml:space="preserve"> (</w:t>
      </w:r>
      <w:proofErr w:type="spellStart"/>
      <w:r>
        <w:rPr>
          <w:color w:val="13202B"/>
        </w:rPr>
        <w:t>HashiCorp</w:t>
      </w:r>
      <w:proofErr w:type="spellEnd"/>
      <w:r>
        <w:rPr>
          <w:color w:val="13202B"/>
        </w:rPr>
        <w:t xml:space="preserve"> Vault on-premises, or the cloud's key management service) holds the master encryption key and service credentials.</w:t>
      </w:r>
    </w:p>
    <w:p w:rsidR="00811116" w:rsidRDefault="001A1334">
      <w:pPr>
        <w:pStyle w:val="Heading1"/>
        <w:keepNext/>
        <w:spacing w:before="360" w:after="120"/>
      </w:pPr>
      <w:r>
        <w:rPr>
          <w:b/>
          <w:bCs/>
          <w:color w:val="0B5F8A"/>
          <w:sz w:val="34"/>
          <w:szCs w:val="34"/>
        </w:rPr>
        <w:t>6   Integration points with external systems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2461"/>
        <w:gridCol w:w="1044"/>
        <w:gridCol w:w="2317"/>
        <w:gridCol w:w="2455"/>
      </w:tblGrid>
      <w:tr w:rsidR="00811116">
        <w:trPr>
          <w:tblHeader/>
        </w:trPr>
        <w:tc>
          <w:tcPr>
            <w:tcW w:w="1376"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SYSTEM</w:t>
            </w:r>
          </w:p>
        </w:tc>
        <w:tc>
          <w:tcPr>
            <w:tcW w:w="2622"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PURPOSE</w:t>
            </w:r>
          </w:p>
        </w:tc>
        <w:tc>
          <w:tcPr>
            <w:tcW w:w="59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DIRECTION</w:t>
            </w:r>
          </w:p>
        </w:tc>
        <w:tc>
          <w:tcPr>
            <w:tcW w:w="2425"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METHOD</w:t>
            </w:r>
          </w:p>
        </w:tc>
        <w:tc>
          <w:tcPr>
            <w:tcW w:w="2625"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FAILURE BEHAVIOUR</w:t>
            </w:r>
          </w:p>
        </w:tc>
      </w:tr>
      <w:tr w:rsidR="00811116">
        <w:trPr>
          <w:cantSplit/>
        </w:trPr>
        <w:tc>
          <w:tcPr>
            <w:tcW w:w="137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Identity provider</w:t>
            </w:r>
          </w:p>
        </w:tc>
        <w:tc>
          <w:tcPr>
            <w:tcW w:w="262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Sign-in, group and manager information</w:t>
            </w:r>
          </w:p>
        </w:tc>
        <w:tc>
          <w:tcPr>
            <w:tcW w:w="59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Both</w:t>
            </w:r>
          </w:p>
        </w:tc>
        <w:tc>
          <w:tcPr>
            <w:tcW w:w="24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OIDC or SAML 2.0</w:t>
            </w:r>
          </w:p>
        </w:tc>
        <w:tc>
          <w:tcPr>
            <w:tcW w:w="26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Existing sessions continue; new sign-ins wait for the provider</w:t>
            </w:r>
          </w:p>
        </w:tc>
      </w:tr>
      <w:tr w:rsidR="00811116">
        <w:trPr>
          <w:cantSplit/>
        </w:trPr>
        <w:tc>
          <w:tcPr>
            <w:tcW w:w="137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Verification service</w:t>
            </w:r>
          </w:p>
        </w:tc>
        <w:tc>
          <w:tcPr>
            <w:tcW w:w="262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PAN, GST, MSME and bank account checks</w:t>
            </w:r>
          </w:p>
        </w:tc>
        <w:tc>
          <w:tcPr>
            <w:tcW w:w="59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Outbound</w:t>
            </w:r>
          </w:p>
        </w:tc>
        <w:tc>
          <w:tcPr>
            <w:tcW w:w="24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HTTPS REST with retry and back-off</w:t>
            </w:r>
          </w:p>
        </w:tc>
        <w:tc>
          <w:tcPr>
            <w:tcW w:w="26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Case continues; check marked pending</w:t>
            </w:r>
          </w:p>
        </w:tc>
      </w:tr>
      <w:tr w:rsidR="00811116">
        <w:trPr>
          <w:cantSplit/>
        </w:trPr>
        <w:tc>
          <w:tcPr>
            <w:tcW w:w="137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ERP (SAP)</w:t>
            </w:r>
          </w:p>
        </w:tc>
        <w:tc>
          <w:tcPr>
            <w:tcW w:w="262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Create or activate the vendor master after final approval</w:t>
            </w:r>
          </w:p>
        </w:tc>
        <w:tc>
          <w:tcPr>
            <w:tcW w:w="59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Outbound</w:t>
            </w:r>
          </w:p>
        </w:tc>
        <w:tc>
          <w:tcPr>
            <w:tcW w:w="24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Idempotent call; payload to be agreed</w:t>
            </w:r>
          </w:p>
        </w:tc>
        <w:tc>
          <w:tcPr>
            <w:tcW w:w="26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Retried safely; no duplicate vendor</w:t>
            </w:r>
          </w:p>
        </w:tc>
      </w:tr>
      <w:tr w:rsidR="00811116">
        <w:trPr>
          <w:cantSplit/>
        </w:trPr>
        <w:tc>
          <w:tcPr>
            <w:tcW w:w="137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Email</w:t>
            </w:r>
          </w:p>
        </w:tc>
        <w:tc>
          <w:tcPr>
            <w:tcW w:w="262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Notifications to proposers and reviewers</w:t>
            </w:r>
          </w:p>
        </w:tc>
        <w:tc>
          <w:tcPr>
            <w:tcW w:w="59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Outbound</w:t>
            </w:r>
          </w:p>
        </w:tc>
        <w:tc>
          <w:tcPr>
            <w:tcW w:w="24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SMTP or cloud email API</w:t>
            </w:r>
          </w:p>
        </w:tc>
        <w:tc>
          <w:tcPr>
            <w:tcW w:w="26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In-app notification still delivered</w:t>
            </w:r>
          </w:p>
        </w:tc>
      </w:tr>
      <w:tr w:rsidR="00811116">
        <w:trPr>
          <w:cantSplit/>
        </w:trPr>
        <w:tc>
          <w:tcPr>
            <w:tcW w:w="137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Malware scanner</w:t>
            </w:r>
          </w:p>
        </w:tc>
        <w:tc>
          <w:tcPr>
            <w:tcW w:w="262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Scan every uploaded file</w:t>
            </w:r>
          </w:p>
        </w:tc>
        <w:tc>
          <w:tcPr>
            <w:tcW w:w="59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Internal</w:t>
            </w:r>
          </w:p>
        </w:tc>
        <w:tc>
          <w:tcPr>
            <w:tcW w:w="24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proofErr w:type="spellStart"/>
            <w:r>
              <w:rPr>
                <w:color w:val="13202B"/>
                <w:sz w:val="19"/>
                <w:szCs w:val="19"/>
              </w:rPr>
              <w:t>ClamAV</w:t>
            </w:r>
            <w:proofErr w:type="spellEnd"/>
            <w:r>
              <w:rPr>
                <w:color w:val="13202B"/>
                <w:sz w:val="19"/>
                <w:szCs w:val="19"/>
              </w:rPr>
              <w:t xml:space="preserve"> service</w:t>
            </w:r>
          </w:p>
        </w:tc>
        <w:tc>
          <w:tcPr>
            <w:tcW w:w="26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Upload refused rather than stored </w:t>
            </w:r>
            <w:proofErr w:type="spellStart"/>
            <w:r>
              <w:rPr>
                <w:color w:val="13202B"/>
                <w:sz w:val="19"/>
                <w:szCs w:val="19"/>
              </w:rPr>
              <w:t>unscanned</w:t>
            </w:r>
            <w:proofErr w:type="spellEnd"/>
          </w:p>
        </w:tc>
      </w:tr>
      <w:tr w:rsidR="00811116">
        <w:trPr>
          <w:cantSplit/>
        </w:trPr>
        <w:tc>
          <w:tcPr>
            <w:tcW w:w="137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lastRenderedPageBreak/>
              <w:t>Log and SIEM platform</w:t>
            </w:r>
          </w:p>
        </w:tc>
        <w:tc>
          <w:tcPr>
            <w:tcW w:w="2622"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Central monitoring and audit export</w:t>
            </w:r>
          </w:p>
        </w:tc>
        <w:tc>
          <w:tcPr>
            <w:tcW w:w="59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Outbound</w:t>
            </w:r>
          </w:p>
        </w:tc>
        <w:tc>
          <w:tcPr>
            <w:tcW w:w="24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JSON logs, </w:t>
            </w:r>
            <w:proofErr w:type="spellStart"/>
            <w:r>
              <w:rPr>
                <w:color w:val="13202B"/>
                <w:sz w:val="19"/>
                <w:szCs w:val="19"/>
              </w:rPr>
              <w:t>OpenTelemetry</w:t>
            </w:r>
            <w:proofErr w:type="spellEnd"/>
            <w:r>
              <w:rPr>
                <w:color w:val="13202B"/>
                <w:sz w:val="19"/>
                <w:szCs w:val="19"/>
              </w:rPr>
              <w:t>, CSV export</w:t>
            </w:r>
          </w:p>
        </w:tc>
        <w:tc>
          <w:tcPr>
            <w:tcW w:w="262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Logs buffered by the log agent</w:t>
            </w:r>
          </w:p>
        </w:tc>
      </w:tr>
    </w:tbl>
    <w:p w:rsidR="00811116" w:rsidRDefault="00811116">
      <w:pPr>
        <w:spacing w:after="120"/>
      </w:pPr>
    </w:p>
    <w:p w:rsidR="00811116" w:rsidRDefault="001A1334">
      <w:pPr>
        <w:pBdr>
          <w:left w:val="single" w:sz="18" w:space="8" w:color="A55A06"/>
        </w:pBdr>
        <w:shd w:val="clear" w:color="auto" w:fill="FBEEDD"/>
        <w:spacing w:before="120" w:after="160"/>
        <w:ind w:left="140"/>
      </w:pPr>
      <w:r>
        <w:rPr>
          <w:color w:val="13202B"/>
        </w:rPr>
        <w:t>The ERP payload and the registry service contract are confirmed with the client during build. Until then the registry connection runs against a test double and the ERP call is a stub, so no unconfirmed interface is assumed.</w:t>
      </w:r>
    </w:p>
    <w:p w:rsidR="00811116" w:rsidRDefault="001A1334">
      <w:pPr>
        <w:pStyle w:val="Heading1"/>
        <w:keepNext/>
        <w:spacing w:before="360" w:after="120"/>
        <w:sectPr w:rsidR="00811116">
          <w:footerReference w:type="default" r:id="rId13"/>
          <w:pgSz w:w="11906" w:h="16838"/>
          <w:pgMar w:top="1134" w:right="1134" w:bottom="1134" w:left="1134" w:header="708" w:footer="708" w:gutter="0"/>
          <w:cols w:space="720"/>
          <w:docGrid w:linePitch="360"/>
        </w:sectPr>
      </w:pPr>
      <w:r>
        <w:rPr>
          <w:b/>
          <w:bCs/>
          <w:color w:val="0B5F8A"/>
          <w:sz w:val="34"/>
          <w:szCs w:val="34"/>
        </w:rPr>
        <w:t>7   Security and authentication</w:t>
      </w:r>
    </w:p>
    <w:p w:rsidR="00811116" w:rsidRDefault="001A1334">
      <w:pPr>
        <w:spacing w:after="120"/>
      </w:pPr>
      <w:r>
        <w:rPr>
          <w:noProof/>
        </w:rPr>
        <w:lastRenderedPageBreak/>
        <w:drawing>
          <wp:inline distT="0" distB="0" distL="0" distR="0">
            <wp:extent cx="9144000" cy="2381250"/>
            <wp:effectExtent l="0" t="0" r="0" b="0"/>
            <wp:docPr id="3" name="diagram" descr="Figure 4. Every request passes three checks before data is touched. The session is an httpOnly cookie, so scripts in the browser cannot read it."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144000" cy="2381250"/>
                    </a:xfrm>
                    <a:prstGeom prst="rect">
                      <a:avLst/>
                    </a:prstGeom>
                  </pic:spPr>
                </pic:pic>
              </a:graphicData>
            </a:graphic>
          </wp:inline>
        </w:drawing>
      </w:r>
    </w:p>
    <w:p w:rsidR="00811116" w:rsidRDefault="001A1334">
      <w:pPr>
        <w:spacing w:after="60"/>
        <w:sectPr w:rsidR="00811116">
          <w:footerReference w:type="default" r:id="rId15"/>
          <w:pgSz w:w="16838" w:h="11906" w:orient="landscape"/>
          <w:pgMar w:top="1134" w:right="1134" w:bottom="1134" w:left="1134" w:header="708" w:footer="708" w:gutter="0"/>
          <w:cols w:space="720"/>
          <w:docGrid w:linePitch="360"/>
        </w:sectPr>
      </w:pPr>
      <w:r>
        <w:rPr>
          <w:i/>
          <w:iCs/>
          <w:color w:val="5D6C78"/>
          <w:sz w:val="19"/>
          <w:szCs w:val="19"/>
        </w:rPr>
        <w:t>Figure 4. Every request passes three checks before data is touched. The se</w:t>
      </w:r>
      <w:r>
        <w:rPr>
          <w:i/>
          <w:iCs/>
          <w:color w:val="5D6C78"/>
          <w:sz w:val="19"/>
          <w:szCs w:val="19"/>
        </w:rPr>
        <w:t xml:space="preserve">ssion is an </w:t>
      </w:r>
      <w:proofErr w:type="spellStart"/>
      <w:r>
        <w:rPr>
          <w:i/>
          <w:iCs/>
          <w:color w:val="5D6C78"/>
          <w:sz w:val="19"/>
          <w:szCs w:val="19"/>
        </w:rPr>
        <w:t>httpOnly</w:t>
      </w:r>
      <w:proofErr w:type="spellEnd"/>
      <w:r>
        <w:rPr>
          <w:i/>
          <w:iCs/>
          <w:color w:val="5D6C78"/>
          <w:sz w:val="19"/>
          <w:szCs w:val="19"/>
        </w:rPr>
        <w:t xml:space="preserve"> cookie, so scripts in the browser cannot read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8"/>
        <w:gridCol w:w="6320"/>
      </w:tblGrid>
      <w:tr w:rsidR="00811116">
        <w:trPr>
          <w:tblHeader/>
        </w:trPr>
        <w:tc>
          <w:tcPr>
            <w:tcW w:w="3318"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lastRenderedPageBreak/>
              <w:t>CONTROL</w:t>
            </w:r>
          </w:p>
        </w:tc>
        <w:tc>
          <w:tcPr>
            <w:tcW w:w="632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HOW IT IS MET</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Authentication</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Enterprise SSO through OIDC or SAML 2.0. New users are created on first sign-in and wait for manager approval. A local break-glass login is off by default and requires MFA when enabled.</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Authorisation</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Role-based, with every endpoint denied unless a role gr</w:t>
            </w:r>
            <w:r>
              <w:rPr>
                <w:color w:val="13202B"/>
                <w:sz w:val="19"/>
                <w:szCs w:val="19"/>
              </w:rPr>
              <w:t>ants it. Roles: Proposer, InfoSec, FCU, Operation, Legal, SAP, Finance, Compliance, Auditor, Admin. Users see only the cases they are entitled to, and changing an ID in a URL does not reveal another record.</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Segregation of duties</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Nobody approves their own access request or review. Review stages are owned by separate teams.</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Sensitive data</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PAN, bank account and signatory PAN are encrypted with AES-256-GCM using envelope encryption. Full values show only to roles holding the sensitiv</w:t>
            </w:r>
            <w:r>
              <w:rPr>
                <w:color w:val="13202B"/>
                <w:sz w:val="19"/>
                <w:szCs w:val="19"/>
              </w:rPr>
              <w:t>e-view permission, and each reveal is audited.</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Transport</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TLS for all traffic into the platform and to external services. Network policy inside the cluster allows only the connections the application needs.</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Sessions</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Idle timeout, absolute timeout, revocat</w:t>
            </w:r>
            <w:r>
              <w:rPr>
                <w:color w:val="13202B"/>
                <w:sz w:val="19"/>
                <w:szCs w:val="19"/>
              </w:rPr>
              <w:t>ion on logout, role change or deactivation. Lockout and rate limits against brute force.</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Files</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Type checked by content, malware scanned, stored under random keys, served only after a permission check.</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Secrets</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No credentials in code or images. They come f</w:t>
            </w:r>
            <w:r>
              <w:rPr>
                <w:color w:val="13202B"/>
                <w:sz w:val="19"/>
                <w:szCs w:val="19"/>
              </w:rPr>
              <w:t>rom the secrets store at start-up.</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Containers</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Run as non-root with a read-only </w:t>
            </w:r>
            <w:proofErr w:type="spellStart"/>
            <w:r>
              <w:rPr>
                <w:color w:val="13202B"/>
                <w:sz w:val="19"/>
                <w:szCs w:val="19"/>
              </w:rPr>
              <w:t>filesystem</w:t>
            </w:r>
            <w:proofErr w:type="spellEnd"/>
            <w:r>
              <w:rPr>
                <w:color w:val="13202B"/>
                <w:sz w:val="19"/>
                <w:szCs w:val="19"/>
              </w:rPr>
              <w:t xml:space="preserve">, dropped capabilities and a default </w:t>
            </w:r>
            <w:proofErr w:type="spellStart"/>
            <w:r>
              <w:rPr>
                <w:color w:val="13202B"/>
                <w:sz w:val="19"/>
                <w:szCs w:val="19"/>
              </w:rPr>
              <w:t>seccomp</w:t>
            </w:r>
            <w:proofErr w:type="spellEnd"/>
            <w:r>
              <w:rPr>
                <w:color w:val="13202B"/>
                <w:sz w:val="19"/>
                <w:szCs w:val="19"/>
              </w:rPr>
              <w:t xml:space="preserve"> profile.</w:t>
            </w:r>
          </w:p>
        </w:tc>
      </w:tr>
      <w:tr w:rsidR="00811116">
        <w:trPr>
          <w:cantSplit/>
        </w:trPr>
        <w:tc>
          <w:tcPr>
            <w:tcW w:w="331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Supply chain</w:t>
            </w:r>
          </w:p>
        </w:tc>
        <w:tc>
          <w:tcPr>
            <w:tcW w:w="632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Pipeline runs lint, type checks, tests, static analysis, dependency and image scans, and secret scanning on every change.</w:t>
            </w:r>
          </w:p>
        </w:tc>
      </w:tr>
    </w:tbl>
    <w:p w:rsidR="00811116" w:rsidRDefault="00811116">
      <w:pPr>
        <w:spacing w:after="120"/>
      </w:pPr>
    </w:p>
    <w:p w:rsidR="00811116" w:rsidRDefault="001A1334">
      <w:pPr>
        <w:pStyle w:val="Heading1"/>
        <w:keepNext/>
        <w:spacing w:before="360" w:after="120"/>
      </w:pPr>
      <w:r>
        <w:rPr>
          <w:b/>
          <w:bCs/>
          <w:color w:val="0B5F8A"/>
          <w:sz w:val="34"/>
          <w:szCs w:val="34"/>
        </w:rPr>
        <w:t>8   Infrastructure and deployment</w:t>
      </w:r>
    </w:p>
    <w:p w:rsidR="00811116" w:rsidRDefault="00A6374B">
      <w:pPr>
        <w:spacing w:after="120" w:line="288" w:lineRule="auto"/>
      </w:pPr>
      <w:r>
        <w:rPr>
          <w:color w:val="13202B"/>
        </w:rPr>
        <w:t>VOMT</w:t>
      </w:r>
      <w:r w:rsidR="001A1334">
        <w:rPr>
          <w:color w:val="13202B"/>
        </w:rPr>
        <w:t xml:space="preserve"> ships as container images with a Helm chart for Kubernetes. The same chart runs in a data cent</w:t>
      </w:r>
      <w:r w:rsidR="001A1334">
        <w:rPr>
          <w:color w:val="13202B"/>
        </w:rPr>
        <w:t>re or on any managed Kubernetes service, with infrastructure code (Terraform) to create the surrounding resources.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3933"/>
        <w:gridCol w:w="3935"/>
      </w:tblGrid>
      <w:tr w:rsidR="00811116">
        <w:trPr>
          <w:tblHeader/>
        </w:trPr>
        <w:tc>
          <w:tcPr>
            <w:tcW w:w="1770"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COMPONENT</w:t>
            </w:r>
          </w:p>
        </w:tc>
        <w:tc>
          <w:tcPr>
            <w:tcW w:w="3933"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RUNS AS</w:t>
            </w:r>
          </w:p>
        </w:tc>
        <w:tc>
          <w:tcPr>
            <w:tcW w:w="3935"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SCALING</w:t>
            </w:r>
          </w:p>
        </w:tc>
      </w:tr>
      <w:tr w:rsidR="00811116">
        <w:trPr>
          <w:cantSplit/>
        </w:trPr>
        <w:tc>
          <w:tcPr>
            <w:tcW w:w="177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Web portal</w:t>
            </w:r>
          </w:p>
        </w:tc>
        <w:tc>
          <w:tcPr>
            <w:tcW w:w="3933"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Stateless container</w:t>
            </w:r>
          </w:p>
        </w:tc>
        <w:tc>
          <w:tcPr>
            <w:tcW w:w="393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Horizontal pod </w:t>
            </w:r>
            <w:proofErr w:type="spellStart"/>
            <w:r>
              <w:rPr>
                <w:color w:val="13202B"/>
                <w:sz w:val="19"/>
                <w:szCs w:val="19"/>
              </w:rPr>
              <w:t>autoscaling</w:t>
            </w:r>
            <w:proofErr w:type="spellEnd"/>
            <w:r>
              <w:rPr>
                <w:color w:val="13202B"/>
                <w:sz w:val="19"/>
                <w:szCs w:val="19"/>
              </w:rPr>
              <w:t xml:space="preserve"> on load</w:t>
            </w:r>
          </w:p>
        </w:tc>
      </w:tr>
      <w:tr w:rsidR="00811116">
        <w:trPr>
          <w:cantSplit/>
        </w:trPr>
        <w:tc>
          <w:tcPr>
            <w:tcW w:w="177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API</w:t>
            </w:r>
          </w:p>
        </w:tc>
        <w:tc>
          <w:tcPr>
            <w:tcW w:w="3933"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Stateless container</w:t>
            </w:r>
          </w:p>
        </w:tc>
        <w:tc>
          <w:tcPr>
            <w:tcW w:w="393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Horizontal pod </w:t>
            </w:r>
            <w:proofErr w:type="spellStart"/>
            <w:r>
              <w:rPr>
                <w:color w:val="13202B"/>
                <w:sz w:val="19"/>
                <w:szCs w:val="19"/>
              </w:rPr>
              <w:t>autoscaling</w:t>
            </w:r>
            <w:proofErr w:type="spellEnd"/>
            <w:r>
              <w:rPr>
                <w:color w:val="13202B"/>
                <w:sz w:val="19"/>
                <w:szCs w:val="19"/>
              </w:rPr>
              <w:t xml:space="preserve"> on load</w:t>
            </w:r>
          </w:p>
        </w:tc>
      </w:tr>
      <w:tr w:rsidR="00811116">
        <w:trPr>
          <w:cantSplit/>
        </w:trPr>
        <w:tc>
          <w:tcPr>
            <w:tcW w:w="177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Background worker</w:t>
            </w:r>
          </w:p>
        </w:tc>
        <w:tc>
          <w:tcPr>
            <w:tcW w:w="3933"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Container consuming the </w:t>
            </w:r>
            <w:proofErr w:type="spellStart"/>
            <w:r>
              <w:rPr>
                <w:color w:val="13202B"/>
                <w:sz w:val="19"/>
                <w:szCs w:val="19"/>
              </w:rPr>
              <w:t>Redis</w:t>
            </w:r>
            <w:proofErr w:type="spellEnd"/>
            <w:r>
              <w:rPr>
                <w:color w:val="13202B"/>
                <w:sz w:val="19"/>
                <w:szCs w:val="19"/>
              </w:rPr>
              <w:t xml:space="preserve"> queue</w:t>
            </w:r>
          </w:p>
        </w:tc>
        <w:tc>
          <w:tcPr>
            <w:tcW w:w="393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Scale by queue depth</w:t>
            </w:r>
          </w:p>
        </w:tc>
      </w:tr>
      <w:tr w:rsidR="00811116">
        <w:trPr>
          <w:cantSplit/>
        </w:trPr>
        <w:tc>
          <w:tcPr>
            <w:tcW w:w="177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Database migration</w:t>
            </w:r>
          </w:p>
        </w:tc>
        <w:tc>
          <w:tcPr>
            <w:tcW w:w="3933"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One-off job before each upgrade</w:t>
            </w:r>
          </w:p>
        </w:tc>
        <w:tc>
          <w:tcPr>
            <w:tcW w:w="393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n/a</w:t>
            </w:r>
          </w:p>
        </w:tc>
      </w:tr>
      <w:tr w:rsidR="00811116">
        <w:trPr>
          <w:cantSplit/>
        </w:trPr>
        <w:tc>
          <w:tcPr>
            <w:tcW w:w="177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PostgreSQL</w:t>
            </w:r>
          </w:p>
        </w:tc>
        <w:tc>
          <w:tcPr>
            <w:tcW w:w="3933"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Managed service or self-hosted primary with standby</w:t>
            </w:r>
          </w:p>
        </w:tc>
        <w:tc>
          <w:tcPr>
            <w:tcW w:w="393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Vertical, plus read replicas if reporting grows</w:t>
            </w:r>
          </w:p>
        </w:tc>
      </w:tr>
      <w:tr w:rsidR="00811116">
        <w:trPr>
          <w:cantSplit/>
        </w:trPr>
        <w:tc>
          <w:tcPr>
            <w:tcW w:w="177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proofErr w:type="spellStart"/>
            <w:r>
              <w:rPr>
                <w:b/>
                <w:bCs/>
                <w:color w:val="13202B"/>
              </w:rPr>
              <w:t>Redis</w:t>
            </w:r>
            <w:proofErr w:type="spellEnd"/>
          </w:p>
        </w:tc>
        <w:tc>
          <w:tcPr>
            <w:tcW w:w="3933"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Managed service or in-cluster with persistence</w:t>
            </w:r>
          </w:p>
        </w:tc>
        <w:tc>
          <w:tcPr>
            <w:tcW w:w="393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Vertical</w:t>
            </w:r>
          </w:p>
        </w:tc>
      </w:tr>
      <w:tr w:rsidR="00811116">
        <w:trPr>
          <w:cantSplit/>
        </w:trPr>
        <w:tc>
          <w:tcPr>
            <w:tcW w:w="177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Object storage</w:t>
            </w:r>
          </w:p>
        </w:tc>
        <w:tc>
          <w:tcPr>
            <w:tcW w:w="3933"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Amazon S3, </w:t>
            </w:r>
            <w:proofErr w:type="spellStart"/>
            <w:r>
              <w:rPr>
                <w:color w:val="13202B"/>
                <w:sz w:val="19"/>
                <w:szCs w:val="19"/>
              </w:rPr>
              <w:t>MinIO</w:t>
            </w:r>
            <w:proofErr w:type="spellEnd"/>
            <w:r>
              <w:rPr>
                <w:color w:val="13202B"/>
                <w:sz w:val="19"/>
                <w:szCs w:val="19"/>
              </w:rPr>
              <w:t>, R2 or equivalent</w:t>
            </w:r>
          </w:p>
        </w:tc>
        <w:tc>
          <w:tcPr>
            <w:tcW w:w="393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Provider-managed</w:t>
            </w:r>
          </w:p>
        </w:tc>
      </w:tr>
      <w:tr w:rsidR="00811116">
        <w:trPr>
          <w:cantSplit/>
        </w:trPr>
        <w:tc>
          <w:tcPr>
            <w:tcW w:w="177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Malware scanner</w:t>
            </w:r>
          </w:p>
        </w:tc>
        <w:tc>
          <w:tcPr>
            <w:tcW w:w="3933"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proofErr w:type="spellStart"/>
            <w:r>
              <w:rPr>
                <w:color w:val="13202B"/>
                <w:sz w:val="19"/>
                <w:szCs w:val="19"/>
              </w:rPr>
              <w:t>ClamAV</w:t>
            </w:r>
            <w:proofErr w:type="spellEnd"/>
            <w:r>
              <w:rPr>
                <w:color w:val="13202B"/>
                <w:sz w:val="19"/>
                <w:szCs w:val="19"/>
              </w:rPr>
              <w:t xml:space="preserve"> container</w:t>
            </w:r>
          </w:p>
        </w:tc>
        <w:tc>
          <w:tcPr>
            <w:tcW w:w="3935"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Replicas as upload volume requires</w:t>
            </w:r>
          </w:p>
        </w:tc>
      </w:tr>
    </w:tbl>
    <w:p w:rsidR="00811116" w:rsidRDefault="00811116">
      <w:pPr>
        <w:spacing w:after="120"/>
      </w:pPr>
    </w:p>
    <w:p w:rsidR="00811116" w:rsidRDefault="001A1334">
      <w:pPr>
        <w:spacing w:after="120" w:line="288" w:lineRule="auto"/>
      </w:pPr>
      <w:r>
        <w:rPr>
          <w:color w:val="13202B"/>
        </w:rPr>
        <w:t>Environments are separate for development, staging and production, each with its own database, bucket and keys. Configuration is read from environment variables and validated at start-up, and the application refuses to start if it is misconfigured. The des</w:t>
      </w:r>
      <w:r>
        <w:rPr>
          <w:color w:val="13202B"/>
        </w:rPr>
        <w:t>ign target is a large enterprise workload of around 500 concurrent users.</w:t>
      </w:r>
    </w:p>
    <w:p w:rsidR="00811116" w:rsidRDefault="001A1334">
      <w:pPr>
        <w:pStyle w:val="Heading1"/>
        <w:keepNext/>
        <w:spacing w:before="360" w:after="120"/>
      </w:pPr>
      <w:r>
        <w:rPr>
          <w:b/>
          <w:bCs/>
          <w:color w:val="0B5F8A"/>
          <w:sz w:val="34"/>
          <w:szCs w:val="34"/>
        </w:rPr>
        <w:t>9   Logging and monitoring</w:t>
      </w:r>
    </w:p>
    <w:p w:rsidR="00811116" w:rsidRDefault="001A1334">
      <w:pPr>
        <w:keepNext/>
        <w:spacing w:before="100" w:after="30"/>
      </w:pPr>
      <w:r>
        <w:rPr>
          <w:b/>
          <w:bCs/>
          <w:color w:val="13202B"/>
          <w:sz w:val="22"/>
          <w:szCs w:val="22"/>
        </w:rPr>
        <w:t>Application logs</w:t>
      </w:r>
    </w:p>
    <w:p w:rsidR="00811116" w:rsidRDefault="001A1334">
      <w:pPr>
        <w:spacing w:after="120" w:line="288" w:lineRule="auto"/>
        <w:ind w:left="240"/>
      </w:pPr>
      <w:r>
        <w:rPr>
          <w:color w:val="13202B"/>
        </w:rPr>
        <w:t>Structured JSON with a correlation ID on every request, so one user action can be followed across services. Personal and secret values are redacted before they are written, and a test enforces this.</w:t>
      </w:r>
    </w:p>
    <w:p w:rsidR="00811116" w:rsidRDefault="001A1334">
      <w:pPr>
        <w:keepNext/>
        <w:spacing w:before="100" w:after="30"/>
      </w:pPr>
      <w:r>
        <w:rPr>
          <w:b/>
          <w:bCs/>
          <w:color w:val="13202B"/>
          <w:sz w:val="22"/>
          <w:szCs w:val="22"/>
        </w:rPr>
        <w:t>Audit trail</w:t>
      </w:r>
    </w:p>
    <w:p w:rsidR="00811116" w:rsidRDefault="001A1334">
      <w:pPr>
        <w:spacing w:after="120" w:line="288" w:lineRule="auto"/>
        <w:ind w:left="240"/>
      </w:pPr>
      <w:r>
        <w:rPr>
          <w:color w:val="13202B"/>
        </w:rPr>
        <w:t>A separate, hash-chained table of business ev</w:t>
      </w:r>
      <w:r>
        <w:rPr>
          <w:color w:val="13202B"/>
        </w:rPr>
        <w:t>ents: sign-ins, role changes, case actions, document downloads, sensitive-data reveals, exports. An auditor can run a tamper check from the console and export results as CSV; the export is itself audited.</w:t>
      </w:r>
    </w:p>
    <w:p w:rsidR="00811116" w:rsidRDefault="001A1334">
      <w:pPr>
        <w:keepNext/>
        <w:spacing w:before="100" w:after="30"/>
      </w:pPr>
      <w:r>
        <w:rPr>
          <w:b/>
          <w:bCs/>
          <w:color w:val="13202B"/>
          <w:sz w:val="22"/>
          <w:szCs w:val="22"/>
        </w:rPr>
        <w:t>Metrics and traces</w:t>
      </w:r>
    </w:p>
    <w:p w:rsidR="00811116" w:rsidRDefault="001A1334">
      <w:pPr>
        <w:spacing w:after="120" w:line="288" w:lineRule="auto"/>
        <w:ind w:left="240"/>
      </w:pPr>
      <w:proofErr w:type="spellStart"/>
      <w:r>
        <w:rPr>
          <w:color w:val="13202B"/>
        </w:rPr>
        <w:t>OpenTelemetry</w:t>
      </w:r>
      <w:proofErr w:type="spellEnd"/>
      <w:r>
        <w:rPr>
          <w:color w:val="13202B"/>
        </w:rPr>
        <w:t xml:space="preserve"> traces and metrics</w:t>
      </w:r>
      <w:r>
        <w:rPr>
          <w:color w:val="13202B"/>
        </w:rPr>
        <w:t xml:space="preserve"> sent to the client's monitoring stack, with dashboards and alerts on error rate, latency, queue depth and SLA breaches.</w:t>
      </w:r>
    </w:p>
    <w:p w:rsidR="00811116" w:rsidRDefault="001A1334">
      <w:pPr>
        <w:keepNext/>
        <w:spacing w:before="100" w:after="30"/>
      </w:pPr>
      <w:r>
        <w:rPr>
          <w:b/>
          <w:bCs/>
          <w:color w:val="13202B"/>
          <w:sz w:val="22"/>
          <w:szCs w:val="22"/>
        </w:rPr>
        <w:t>Health checks</w:t>
      </w:r>
    </w:p>
    <w:p w:rsidR="00811116" w:rsidRDefault="001A1334">
      <w:pPr>
        <w:spacing w:after="120" w:line="288" w:lineRule="auto"/>
        <w:ind w:left="240"/>
      </w:pPr>
      <w:r>
        <w:rPr>
          <w:color w:val="13202B"/>
        </w:rPr>
        <w:t xml:space="preserve">Liveness and readiness endpoints. Readiness confirms the database, </w:t>
      </w:r>
      <w:proofErr w:type="spellStart"/>
      <w:r>
        <w:rPr>
          <w:color w:val="13202B"/>
        </w:rPr>
        <w:t>Redis</w:t>
      </w:r>
      <w:proofErr w:type="spellEnd"/>
      <w:r>
        <w:rPr>
          <w:color w:val="13202B"/>
        </w:rPr>
        <w:t>, storage and secrets store are reachable, so tra</w:t>
      </w:r>
      <w:r>
        <w:rPr>
          <w:color w:val="13202B"/>
        </w:rPr>
        <w:t>ffic is held back from an instance that cannot serve it.</w:t>
      </w:r>
    </w:p>
    <w:p w:rsidR="00811116" w:rsidRDefault="001A1334">
      <w:pPr>
        <w:spacing w:after="120" w:line="288" w:lineRule="auto"/>
      </w:pPr>
      <w:r>
        <w:rPr>
          <w:color w:val="13202B"/>
        </w:rPr>
        <w:t>Logs are shipped to the client's SIEM. Retention follows the client's policy; the audit table is kept for the 8-year default retention period.</w:t>
      </w:r>
    </w:p>
    <w:p w:rsidR="00811116" w:rsidRDefault="001A1334">
      <w:pPr>
        <w:pStyle w:val="Heading1"/>
        <w:keepNext/>
        <w:spacing w:before="360" w:after="120"/>
        <w:sectPr w:rsidR="00811116">
          <w:footerReference w:type="default" r:id="rId16"/>
          <w:pgSz w:w="11906" w:h="16838"/>
          <w:pgMar w:top="1134" w:right="1134" w:bottom="1134" w:left="1134" w:header="708" w:footer="708" w:gutter="0"/>
          <w:cols w:space="720"/>
          <w:docGrid w:linePitch="360"/>
        </w:sectPr>
      </w:pPr>
      <w:r>
        <w:rPr>
          <w:b/>
          <w:bCs/>
          <w:color w:val="0B5F8A"/>
          <w:sz w:val="34"/>
          <w:szCs w:val="34"/>
        </w:rPr>
        <w:t>10   High availability and disaster recovery</w:t>
      </w:r>
    </w:p>
    <w:p w:rsidR="00811116" w:rsidRDefault="001A1334">
      <w:pPr>
        <w:spacing w:after="120"/>
      </w:pPr>
      <w:r>
        <w:rPr>
          <w:noProof/>
        </w:rPr>
        <w:lastRenderedPageBreak/>
        <w:drawing>
          <wp:inline distT="0" distB="0" distL="0" distR="0">
            <wp:extent cx="9144000" cy="5429250"/>
            <wp:effectExtent l="0" t="0" r="0" b="0"/>
            <wp:docPr id="4" name="diagram" descr="Figure 5. Reference deployment across two availability zones. A single-site on-premises deployment follows the same layout with two racks or hosts in place of zones."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144000" cy="5429250"/>
                    </a:xfrm>
                    <a:prstGeom prst="rect">
                      <a:avLst/>
                    </a:prstGeom>
                  </pic:spPr>
                </pic:pic>
              </a:graphicData>
            </a:graphic>
          </wp:inline>
        </w:drawing>
      </w:r>
    </w:p>
    <w:p w:rsidR="00811116" w:rsidRDefault="001A1334">
      <w:pPr>
        <w:spacing w:after="60"/>
        <w:sectPr w:rsidR="00811116">
          <w:footerReference w:type="default" r:id="rId18"/>
          <w:pgSz w:w="16838" w:h="11906" w:orient="landscape"/>
          <w:pgMar w:top="1134" w:right="1134" w:bottom="1134" w:left="1134" w:header="708" w:footer="708" w:gutter="0"/>
          <w:cols w:space="720"/>
          <w:docGrid w:linePitch="360"/>
        </w:sectPr>
      </w:pPr>
      <w:r>
        <w:rPr>
          <w:i/>
          <w:iCs/>
          <w:color w:val="5D6C78"/>
          <w:sz w:val="19"/>
          <w:szCs w:val="19"/>
        </w:rPr>
        <w:t>Figure 5. Reference deployment across two availability zones. A single-site on-premises deployment follows the same layout with two racks or hosts in place of zones.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811116">
        <w:trPr>
          <w:tblHeader/>
        </w:trPr>
        <w:tc>
          <w:tcPr>
            <w:tcW w:w="3614"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lastRenderedPageBreak/>
              <w:t>ASPECT</w:t>
            </w:r>
          </w:p>
        </w:tc>
        <w:tc>
          <w:tcPr>
            <w:tcW w:w="6024"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DESIGN</w:t>
            </w:r>
          </w:p>
        </w:tc>
      </w:tr>
      <w:tr w:rsidR="00811116">
        <w:trPr>
          <w:cantSplit/>
        </w:trPr>
        <w:tc>
          <w:tcPr>
            <w:tcW w:w="361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Application availability</w:t>
            </w:r>
          </w:p>
        </w:tc>
        <w:tc>
          <w:tcPr>
            <w:tcW w:w="602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At least two replicas of web and API spread across zones, a pod disruption budget so upgrades never remove all replicas, and rolling releases with readiness checks.</w:t>
            </w:r>
          </w:p>
        </w:tc>
      </w:tr>
      <w:tr w:rsidR="00811116">
        <w:trPr>
          <w:cantSplit/>
        </w:trPr>
        <w:tc>
          <w:tcPr>
            <w:tcW w:w="361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Database availability</w:t>
            </w:r>
          </w:p>
        </w:tc>
        <w:tc>
          <w:tcPr>
            <w:tcW w:w="602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Primary with a synchronous or asynchronous standby in another zone a</w:t>
            </w:r>
            <w:r>
              <w:rPr>
                <w:color w:val="13202B"/>
                <w:sz w:val="19"/>
                <w:szCs w:val="19"/>
              </w:rPr>
              <w:t>nd automatic failover. Managed PostgreSQL services provide this as a setting.</w:t>
            </w:r>
          </w:p>
        </w:tc>
      </w:tr>
      <w:tr w:rsidR="00811116">
        <w:trPr>
          <w:cantSplit/>
        </w:trPr>
        <w:tc>
          <w:tcPr>
            <w:tcW w:w="361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Recovery targets</w:t>
            </w:r>
          </w:p>
        </w:tc>
        <w:tc>
          <w:tcPr>
            <w:tcW w:w="602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Recovery point objective 15 minutes, recovery time objective 2 hours, using continuous WAL archiving and point-in-time recovery. Targets are confirmed with the client.</w:t>
            </w:r>
          </w:p>
        </w:tc>
      </w:tr>
      <w:tr w:rsidR="00811116">
        <w:trPr>
          <w:cantSplit/>
        </w:trPr>
        <w:tc>
          <w:tcPr>
            <w:tcW w:w="361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Key recovery</w:t>
            </w:r>
          </w:p>
        </w:tc>
        <w:tc>
          <w:tcPr>
            <w:tcW w:w="602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The master encryption key is backed up separately. Without it, encrypted f</w:t>
            </w:r>
            <w:r>
              <w:rPr>
                <w:color w:val="13202B"/>
                <w:sz w:val="19"/>
                <w:szCs w:val="19"/>
              </w:rPr>
              <w:t>ields cannot be read, so key recovery is part of every restore test.</w:t>
            </w:r>
          </w:p>
        </w:tc>
      </w:tr>
      <w:tr w:rsidR="00811116">
        <w:trPr>
          <w:cantSplit/>
        </w:trPr>
        <w:tc>
          <w:tcPr>
            <w:tcW w:w="361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Disaster recovery</w:t>
            </w:r>
          </w:p>
        </w:tc>
        <w:tc>
          <w:tcPr>
            <w:tcW w:w="602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Backups and object versions are copied to a second location within India. A </w:t>
            </w:r>
            <w:proofErr w:type="spellStart"/>
            <w:r>
              <w:rPr>
                <w:color w:val="13202B"/>
                <w:sz w:val="19"/>
                <w:szCs w:val="19"/>
              </w:rPr>
              <w:t>runbook</w:t>
            </w:r>
            <w:proofErr w:type="spellEnd"/>
            <w:r>
              <w:rPr>
                <w:color w:val="13202B"/>
                <w:sz w:val="19"/>
                <w:szCs w:val="19"/>
              </w:rPr>
              <w:t xml:space="preserve"> covers restore and cut-over, with a restore drill each quarter.</w:t>
            </w:r>
          </w:p>
        </w:tc>
      </w:tr>
      <w:tr w:rsidR="00811116">
        <w:trPr>
          <w:cantSplit/>
        </w:trPr>
        <w:tc>
          <w:tcPr>
            <w:tcW w:w="361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Degraded operation</w:t>
            </w:r>
          </w:p>
        </w:tc>
        <w:tc>
          <w:tcPr>
            <w:tcW w:w="602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If the registry, ERP or email service is down, cases continue and the dependent step is retried later. Only a database outage stops the platform.</w:t>
            </w:r>
          </w:p>
        </w:tc>
      </w:tr>
    </w:tbl>
    <w:p w:rsidR="00811116" w:rsidRDefault="00811116">
      <w:pPr>
        <w:spacing w:after="120"/>
      </w:pPr>
    </w:p>
    <w:p w:rsidR="00811116" w:rsidRDefault="001A1334">
      <w:pPr>
        <w:pStyle w:val="Heading1"/>
        <w:keepNext/>
        <w:spacing w:before="360" w:after="120"/>
      </w:pPr>
      <w:r>
        <w:rPr>
          <w:b/>
          <w:bCs/>
          <w:color w:val="0B5F8A"/>
          <w:sz w:val="34"/>
          <w:szCs w:val="34"/>
        </w:rPr>
        <w:t>11   Decisions we need from the client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3504"/>
        <w:gridCol w:w="3506"/>
      </w:tblGrid>
      <w:tr w:rsidR="00811116">
        <w:trPr>
          <w:tblHeader/>
        </w:trPr>
        <w:tc>
          <w:tcPr>
            <w:tcW w:w="2628"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DECISION</w:t>
            </w:r>
          </w:p>
        </w:tc>
        <w:tc>
          <w:tcPr>
            <w:tcW w:w="3504"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OPTIONS</w:t>
            </w:r>
          </w:p>
        </w:tc>
        <w:tc>
          <w:tcPr>
            <w:tcW w:w="3506" w:type="dxa"/>
            <w:tcBorders>
              <w:top w:val="single" w:sz="4" w:space="0" w:color="C9D3DB"/>
              <w:left w:val="single" w:sz="4" w:space="0" w:color="C9D3DB"/>
              <w:bottom w:val="single" w:sz="4" w:space="0" w:color="C9D3DB"/>
              <w:right w:val="single" w:sz="4" w:space="0" w:color="C9D3DB"/>
            </w:tcBorders>
            <w:shd w:val="clear" w:color="auto" w:fill="EAF0F4"/>
            <w:tcMar>
              <w:top w:w="70" w:type="dxa"/>
              <w:left w:w="110" w:type="dxa"/>
              <w:bottom w:w="70" w:type="dxa"/>
              <w:right w:w="110" w:type="dxa"/>
            </w:tcMar>
          </w:tcPr>
          <w:p w:rsidR="00811116" w:rsidRDefault="001A1334">
            <w:pPr>
              <w:spacing w:after="40"/>
            </w:pPr>
            <w:r>
              <w:rPr>
                <w:b/>
                <w:bCs/>
                <w:color w:val="5D6C78"/>
                <w:sz w:val="18"/>
                <w:szCs w:val="18"/>
              </w:rPr>
              <w:t>EFFECT</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Document storage</w:t>
            </w:r>
          </w:p>
        </w:tc>
        <w:tc>
          <w:tcPr>
            <w:tcW w:w="350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Amazon S3 (preferred if available), </w:t>
            </w:r>
            <w:proofErr w:type="spellStart"/>
            <w:r>
              <w:rPr>
                <w:color w:val="13202B"/>
                <w:sz w:val="19"/>
                <w:szCs w:val="19"/>
              </w:rPr>
              <w:t>MinIO</w:t>
            </w:r>
            <w:proofErr w:type="spellEnd"/>
            <w:r>
              <w:rPr>
                <w:color w:val="13202B"/>
                <w:sz w:val="19"/>
                <w:szCs w:val="19"/>
              </w:rPr>
              <w:t xml:space="preserve">, </w:t>
            </w:r>
            <w:proofErr w:type="spellStart"/>
            <w:r>
              <w:rPr>
                <w:color w:val="13202B"/>
                <w:sz w:val="19"/>
                <w:szCs w:val="19"/>
              </w:rPr>
              <w:t>Cloudflare</w:t>
            </w:r>
            <w:proofErr w:type="spellEnd"/>
            <w:r>
              <w:rPr>
                <w:color w:val="13202B"/>
                <w:sz w:val="19"/>
                <w:szCs w:val="19"/>
              </w:rPr>
              <w:t xml:space="preserve"> R2</w:t>
            </w:r>
          </w:p>
        </w:tc>
        <w:tc>
          <w:tcPr>
            <w:tcW w:w="350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Sets one configuration value and the access policy</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PostgreSQL hosting</w:t>
            </w:r>
          </w:p>
        </w:tc>
        <w:tc>
          <w:tcPr>
            <w:tcW w:w="350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Managed service or self-hosted</w:t>
            </w:r>
          </w:p>
        </w:tc>
        <w:tc>
          <w:tcPr>
            <w:tcW w:w="350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Decides who operates failover and backups</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Hosting platform</w:t>
            </w:r>
          </w:p>
        </w:tc>
        <w:tc>
          <w:tcPr>
            <w:tcW w:w="350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Client data centre or cloud Kubernetes</w:t>
            </w:r>
          </w:p>
        </w:tc>
        <w:tc>
          <w:tcPr>
            <w:tcW w:w="350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Decides the infrastructure code used</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Identity provider</w:t>
            </w:r>
          </w:p>
        </w:tc>
        <w:tc>
          <w:tcPr>
            <w:tcW w:w="350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proofErr w:type="spellStart"/>
            <w:r>
              <w:rPr>
                <w:color w:val="13202B"/>
                <w:sz w:val="19"/>
                <w:szCs w:val="19"/>
              </w:rPr>
              <w:t>Entra</w:t>
            </w:r>
            <w:proofErr w:type="spellEnd"/>
            <w:r>
              <w:rPr>
                <w:color w:val="13202B"/>
                <w:sz w:val="19"/>
                <w:szCs w:val="19"/>
              </w:rPr>
              <w:t xml:space="preserve"> ID or another OIDC/SAML provider</w:t>
            </w:r>
          </w:p>
        </w:tc>
        <w:tc>
          <w:tcPr>
            <w:tcW w:w="350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Sign-in setup and group-to-role mapping</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Registry service</w:t>
            </w:r>
          </w:p>
        </w:tc>
        <w:tc>
          <w:tcPr>
            <w:tcW w:w="350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Provider and sandbox credentials</w:t>
            </w:r>
          </w:p>
        </w:tc>
        <w:tc>
          <w:tcPr>
            <w:tcW w:w="350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 xml:space="preserve">Enables live PAN, GST and bank </w:t>
            </w:r>
            <w:r>
              <w:rPr>
                <w:color w:val="13202B"/>
                <w:sz w:val="19"/>
                <w:szCs w:val="19"/>
              </w:rPr>
              <w:t>checks</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ERP interface</w:t>
            </w:r>
          </w:p>
        </w:tc>
        <w:tc>
          <w:tcPr>
            <w:tcW w:w="350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Target system and payload format</w:t>
            </w:r>
          </w:p>
        </w:tc>
        <w:tc>
          <w:tcPr>
            <w:tcW w:w="350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Enables vendor activation</w:t>
            </w:r>
          </w:p>
        </w:tc>
      </w:tr>
      <w:tr w:rsidR="00811116">
        <w:trPr>
          <w:cantSplit/>
        </w:trPr>
        <w:tc>
          <w:tcPr>
            <w:tcW w:w="2628"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b/>
                <w:bCs/>
                <w:color w:val="13202B"/>
              </w:rPr>
              <w:t>Recovery targets and retention</w:t>
            </w:r>
          </w:p>
        </w:tc>
        <w:tc>
          <w:tcPr>
            <w:tcW w:w="3504"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Confirm 15 min / 2 h and 8 years</w:t>
            </w:r>
          </w:p>
        </w:tc>
        <w:tc>
          <w:tcPr>
            <w:tcW w:w="3506"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rsidR="00811116" w:rsidRDefault="001A1334">
            <w:pPr>
              <w:spacing w:after="40"/>
            </w:pPr>
            <w:r>
              <w:rPr>
                <w:color w:val="13202B"/>
                <w:sz w:val="19"/>
                <w:szCs w:val="19"/>
              </w:rPr>
              <w:t>Sizes backups and standby</w:t>
            </w:r>
          </w:p>
        </w:tc>
      </w:tr>
    </w:tbl>
    <w:p w:rsidR="00811116" w:rsidRDefault="00811116">
      <w:pPr>
        <w:spacing w:after="120"/>
      </w:pPr>
    </w:p>
    <w:sectPr w:rsidR="00811116">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334" w:rsidRDefault="001A1334">
      <w:r>
        <w:separator/>
      </w:r>
    </w:p>
  </w:endnote>
  <w:endnote w:type="continuationSeparator" w:id="0">
    <w:p w:rsidR="001A1334" w:rsidRDefault="001A1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Solution Architecture v1.0 ·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2</w:t>
    </w:r>
    <w:r>
      <w:rPr>
        <w:color w:val="5D6C7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Solution Architecture v1.0 ·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3</w:t>
    </w:r>
    <w:r>
      <w:rPr>
        <w:color w:val="5D6C7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Solution Architecture v1.0 ·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4</w:t>
    </w:r>
    <w:r>
      <w:rPr>
        <w:color w:val="5D6C7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Solution Architecture v1.0 ·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5</w:t>
    </w:r>
    <w:r>
      <w:rPr>
        <w:color w:val="5D6C7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w:t>
    </w:r>
    <w:r>
      <w:rPr>
        <w:color w:val="5D6C78"/>
        <w:sz w:val="16"/>
        <w:szCs w:val="16"/>
      </w:rPr>
      <w:t xml:space="preserve">ution Architecture v1.0 ·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8</w:t>
    </w:r>
    <w:r>
      <w:rPr>
        <w:color w:val="5D6C78"/>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Solution Architecture v1.0 ·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9</w:t>
    </w:r>
    <w:r>
      <w:rPr>
        <w:color w:val="5D6C7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Solution Architecture v1.0 </w:t>
    </w:r>
    <w:r>
      <w:rPr>
        <w:color w:val="5D6C78"/>
        <w:sz w:val="16"/>
        <w:szCs w:val="16"/>
      </w:rPr>
      <w:t xml:space="preserve">·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11</w:t>
    </w:r>
    <w:r>
      <w:rPr>
        <w:color w:val="5D6C78"/>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Solution Architecture v1.0 ·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12</w:t>
    </w:r>
    <w:r>
      <w:rPr>
        <w:color w:val="5D6C7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1116" w:rsidRDefault="001A1334">
    <w:pPr>
      <w:jc w:val="center"/>
    </w:pPr>
    <w:r>
      <w:rPr>
        <w:color w:val="5D6C78"/>
        <w:sz w:val="16"/>
        <w:szCs w:val="16"/>
      </w:rPr>
      <w:t xml:space="preserve">Vendor </w:t>
    </w:r>
    <w:proofErr w:type="spellStart"/>
    <w:r>
      <w:rPr>
        <w:color w:val="5D6C78"/>
        <w:sz w:val="16"/>
        <w:szCs w:val="16"/>
      </w:rPr>
      <w:t>Onboarding</w:t>
    </w:r>
    <w:proofErr w:type="spellEnd"/>
    <w:r>
      <w:rPr>
        <w:color w:val="5D6C78"/>
        <w:sz w:val="16"/>
        <w:szCs w:val="16"/>
      </w:rPr>
      <w:t xml:space="preserve"> Platform · Solution Architecture v1.0 · Page </w:t>
    </w:r>
    <w:r>
      <w:rPr>
        <w:color w:val="5D6C78"/>
        <w:sz w:val="16"/>
        <w:szCs w:val="16"/>
      </w:rPr>
      <w:fldChar w:fldCharType="begin"/>
    </w:r>
    <w:r>
      <w:rPr>
        <w:color w:val="5D6C78"/>
        <w:sz w:val="16"/>
        <w:szCs w:val="16"/>
      </w:rPr>
      <w:instrText>PAGE</w:instrText>
    </w:r>
    <w:r w:rsidR="00A6374B">
      <w:rPr>
        <w:color w:val="5D6C78"/>
        <w:sz w:val="16"/>
        <w:szCs w:val="16"/>
      </w:rPr>
      <w:fldChar w:fldCharType="separate"/>
    </w:r>
    <w:r w:rsidR="00A6374B">
      <w:rPr>
        <w:noProof/>
        <w:color w:val="5D6C78"/>
        <w:sz w:val="16"/>
        <w:szCs w:val="16"/>
      </w:rPr>
      <w:t>13</w:t>
    </w:r>
    <w:r>
      <w:rPr>
        <w:color w:val="5D6C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334" w:rsidRDefault="001A1334">
      <w:r>
        <w:separator/>
      </w:r>
    </w:p>
  </w:footnote>
  <w:footnote w:type="continuationSeparator" w:id="0">
    <w:p w:rsidR="001A1334" w:rsidRDefault="001A13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F20AD0"/>
    <w:multiLevelType w:val="hybridMultilevel"/>
    <w:tmpl w:val="DB281FBC"/>
    <w:lvl w:ilvl="0" w:tplc="F60273CA">
      <w:start w:val="1"/>
      <w:numFmt w:val="decimal"/>
      <w:lvlText w:val="%1."/>
      <w:lvlJc w:val="left"/>
      <w:pPr>
        <w:ind w:left="540" w:hanging="360"/>
      </w:pPr>
    </w:lvl>
    <w:lvl w:ilvl="1" w:tplc="67DCCEB2">
      <w:numFmt w:val="decimal"/>
      <w:lvlText w:val=""/>
      <w:lvlJc w:val="left"/>
    </w:lvl>
    <w:lvl w:ilvl="2" w:tplc="3E8AC1BC">
      <w:numFmt w:val="decimal"/>
      <w:lvlText w:val=""/>
      <w:lvlJc w:val="left"/>
    </w:lvl>
    <w:lvl w:ilvl="3" w:tplc="00063E8E">
      <w:numFmt w:val="decimal"/>
      <w:lvlText w:val=""/>
      <w:lvlJc w:val="left"/>
    </w:lvl>
    <w:lvl w:ilvl="4" w:tplc="549E8C00">
      <w:numFmt w:val="decimal"/>
      <w:lvlText w:val=""/>
      <w:lvlJc w:val="left"/>
    </w:lvl>
    <w:lvl w:ilvl="5" w:tplc="5F9A0CDC">
      <w:numFmt w:val="decimal"/>
      <w:lvlText w:val=""/>
      <w:lvlJc w:val="left"/>
    </w:lvl>
    <w:lvl w:ilvl="6" w:tplc="AFB2E5D0">
      <w:numFmt w:val="decimal"/>
      <w:lvlText w:val=""/>
      <w:lvlJc w:val="left"/>
    </w:lvl>
    <w:lvl w:ilvl="7" w:tplc="E67E35E2">
      <w:numFmt w:val="decimal"/>
      <w:lvlText w:val=""/>
      <w:lvlJc w:val="left"/>
    </w:lvl>
    <w:lvl w:ilvl="8" w:tplc="9D9CD670">
      <w:numFmt w:val="decimal"/>
      <w:lvlText w:val=""/>
      <w:lvlJc w:val="left"/>
    </w:lvl>
  </w:abstractNum>
  <w:abstractNum w:abstractNumId="1" w15:restartNumberingAfterBreak="0">
    <w:nsid w:val="41CF70D6"/>
    <w:multiLevelType w:val="hybridMultilevel"/>
    <w:tmpl w:val="3FA89AB8"/>
    <w:lvl w:ilvl="0" w:tplc="3050F92E" w:tentative="1">
      <w:start w:val="1"/>
      <w:numFmt w:val="bullet"/>
      <w:lvlText w:val="●"/>
      <w:lvlJc w:val="left"/>
      <w:pPr>
        <w:ind w:left="720" w:hanging="360"/>
      </w:pPr>
    </w:lvl>
    <w:lvl w:ilvl="1" w:tplc="E9F6353E" w:tentative="1">
      <w:start w:val="1"/>
      <w:numFmt w:val="bullet"/>
      <w:lvlText w:val="○"/>
      <w:lvlJc w:val="left"/>
      <w:pPr>
        <w:ind w:left="1440" w:hanging="360"/>
      </w:pPr>
    </w:lvl>
    <w:lvl w:ilvl="2" w:tplc="E1EC9EBA" w:tentative="1">
      <w:start w:val="1"/>
      <w:numFmt w:val="bullet"/>
      <w:lvlText w:val="■"/>
      <w:lvlJc w:val="left"/>
      <w:pPr>
        <w:ind w:left="2160" w:hanging="360"/>
      </w:pPr>
    </w:lvl>
    <w:lvl w:ilvl="3" w:tplc="CFBE6288" w:tentative="1">
      <w:start w:val="1"/>
      <w:numFmt w:val="bullet"/>
      <w:lvlText w:val="●"/>
      <w:lvlJc w:val="left"/>
      <w:pPr>
        <w:ind w:left="2880" w:hanging="360"/>
      </w:pPr>
    </w:lvl>
    <w:lvl w:ilvl="4" w:tplc="945C3AD2" w:tentative="1">
      <w:start w:val="1"/>
      <w:numFmt w:val="bullet"/>
      <w:lvlText w:val="○"/>
      <w:lvlJc w:val="left"/>
      <w:pPr>
        <w:ind w:left="3600" w:hanging="360"/>
      </w:pPr>
    </w:lvl>
    <w:lvl w:ilvl="5" w:tplc="F30CDB32" w:tentative="1">
      <w:start w:val="1"/>
      <w:numFmt w:val="bullet"/>
      <w:lvlText w:val="■"/>
      <w:lvlJc w:val="left"/>
      <w:pPr>
        <w:ind w:left="4320" w:hanging="360"/>
      </w:pPr>
    </w:lvl>
    <w:lvl w:ilvl="6" w:tplc="B4DC0286" w:tentative="1">
      <w:start w:val="1"/>
      <w:numFmt w:val="bullet"/>
      <w:lvlText w:val="●"/>
      <w:lvlJc w:val="left"/>
      <w:pPr>
        <w:ind w:left="5040" w:hanging="360"/>
      </w:pPr>
    </w:lvl>
    <w:lvl w:ilvl="7" w:tplc="0D420050" w:tentative="1">
      <w:start w:val="1"/>
      <w:numFmt w:val="bullet"/>
      <w:lvlText w:val="●"/>
      <w:lvlJc w:val="left"/>
      <w:pPr>
        <w:ind w:left="5760" w:hanging="360"/>
      </w:pPr>
    </w:lvl>
    <w:lvl w:ilvl="8" w:tplc="34586652" w:tentative="1">
      <w:start w:val="1"/>
      <w:numFmt w:val="bullet"/>
      <w:lvlText w:val="●"/>
      <w:lvlJc w:val="left"/>
      <w:pPr>
        <w:ind w:left="6480" w:hanging="360"/>
      </w:pPr>
    </w:lvl>
  </w:abstractNum>
  <w:abstractNum w:abstractNumId="2" w15:restartNumberingAfterBreak="0">
    <w:nsid w:val="7B1A6811"/>
    <w:multiLevelType w:val="hybridMultilevel"/>
    <w:tmpl w:val="46C088BE"/>
    <w:lvl w:ilvl="0" w:tplc="8106345C">
      <w:start w:val="1"/>
      <w:numFmt w:val="bullet"/>
      <w:lvlText w:val="•"/>
      <w:lvlJc w:val="left"/>
      <w:pPr>
        <w:ind w:left="540" w:hanging="270"/>
      </w:pPr>
    </w:lvl>
    <w:lvl w:ilvl="1" w:tplc="16B8E286">
      <w:numFmt w:val="decimal"/>
      <w:lvlText w:val=""/>
      <w:lvlJc w:val="left"/>
    </w:lvl>
    <w:lvl w:ilvl="2" w:tplc="DB4E0026">
      <w:numFmt w:val="decimal"/>
      <w:lvlText w:val=""/>
      <w:lvlJc w:val="left"/>
    </w:lvl>
    <w:lvl w:ilvl="3" w:tplc="F4C6FB28">
      <w:numFmt w:val="decimal"/>
      <w:lvlText w:val=""/>
      <w:lvlJc w:val="left"/>
    </w:lvl>
    <w:lvl w:ilvl="4" w:tplc="B16625F4">
      <w:numFmt w:val="decimal"/>
      <w:lvlText w:val=""/>
      <w:lvlJc w:val="left"/>
    </w:lvl>
    <w:lvl w:ilvl="5" w:tplc="60D67C18">
      <w:numFmt w:val="decimal"/>
      <w:lvlText w:val=""/>
      <w:lvlJc w:val="left"/>
    </w:lvl>
    <w:lvl w:ilvl="6" w:tplc="09681ECC">
      <w:numFmt w:val="decimal"/>
      <w:lvlText w:val=""/>
      <w:lvlJc w:val="left"/>
    </w:lvl>
    <w:lvl w:ilvl="7" w:tplc="D988C402">
      <w:numFmt w:val="decimal"/>
      <w:lvlText w:val=""/>
      <w:lvlJc w:val="left"/>
    </w:lvl>
    <w:lvl w:ilvl="8" w:tplc="0D2A75B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116"/>
    <w:rsid w:val="001A1334"/>
    <w:rsid w:val="00811116"/>
    <w:rsid w:val="00A63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807E"/>
  <w15:docId w15:val="{AC6DE0DB-E072-4040-87C9-CAB5C365A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2362</Words>
  <Characters>13466</Characters>
  <Application>Microsoft Office Word</Application>
  <DocSecurity>0</DocSecurity>
  <Lines>112</Lines>
  <Paragraphs>31</Paragraphs>
  <ScaleCrop>false</ScaleCrop>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Onboarding Platform – Solution Architecture</dc:title>
  <dc:creator>Solution Architecture</dc:creator>
  <cp:lastModifiedBy>Vishal</cp:lastModifiedBy>
  <cp:revision>3</cp:revision>
  <dcterms:created xsi:type="dcterms:W3CDTF">2026-10-20T17:59:00Z</dcterms:created>
  <dcterms:modified xsi:type="dcterms:W3CDTF">2026-10-20T18:09:00Z</dcterms:modified>
</cp:coreProperties>
</file>