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 et al. 2003)</w:t>
      </w:r>
      <w:r>
        <w:t xml:space="preserve">. In anadromous species, lipid reserves play a critical role in sustaining upstream migration and reproductive effort when feeding is reduced or suspended</w:t>
      </w:r>
      <w:r>
        <w:t xml:space="preserve"> </w:t>
      </w:r>
      <w:r>
        <w:t xml:space="preserve">(Bordeleau et al. 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 et al. 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 et al. (2019)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9"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Start w:id="28" w:name="refs"/>
    <w:bookmarkStart w:id="25" w:name="ref-bordeleau_nutritional_2019"/>
    <w:p>
      <w:pPr>
        <w:pStyle w:val="Bibliography"/>
      </w:pPr>
      <w:r>
        <w:t xml:space="preserve">Bordeleau, X, B G Hatcher, S Denny, F G Whoriskey, D A Patterson, and G T Crossin. 2019.</w:t>
      </w:r>
      <w:r>
        <w:t xml:space="preserve"> </w:t>
      </w:r>
      <w:r>
        <w:t xml:space="preserve">“Nutritional Correlates of the Overwintering and Seaward Migratory Decisions and Long-Term Survival of Post-Spawning Atlantic Salmon.”</w:t>
      </w:r>
      <w:r>
        <w:t xml:space="preserve"> </w:t>
      </w:r>
      <w:r>
        <w:rPr>
          <w:i/>
          <w:iCs/>
        </w:rPr>
        <w:t xml:space="preserve">Conservation Physiology</w:t>
      </w:r>
      <w:r>
        <w:t xml:space="preserve"> </w:t>
      </w:r>
      <w:r>
        <w:t xml:space="preserve">7 (1): coz107.</w:t>
      </w:r>
      <w:r>
        <w:t xml:space="preserve"> </w:t>
      </w:r>
      <w:hyperlink r:id="rId24">
        <w:r>
          <w:rPr>
            <w:rStyle w:val="Hyperlink"/>
          </w:rPr>
          <w:t xml:space="preserve">https://doi.org/10.1093/conphys/coz107</w:t>
        </w:r>
      </w:hyperlink>
      <w:r>
        <w:t xml:space="preserve">.</w:t>
      </w:r>
    </w:p>
    <w:bookmarkEnd w:id="25"/>
    <w:bookmarkStart w:id="27" w:name="ref-simpkins_physiological_2003"/>
    <w:p>
      <w:pPr>
        <w:pStyle w:val="Bibliography"/>
      </w:pPr>
      <w:r>
        <w:t xml:space="preserve">Simpkins, Darin G., Wayne A. Hubert, Carlos Martinez Del Rio, and Daniel C. Rule. 2003.</w:t>
      </w:r>
      <w:r>
        <w:t xml:space="preserve"> </w:t>
      </w:r>
      <w:r>
        <w:t xml:space="preserve">“Physiological Responses of Juvenile Rainbow Trout to Fasting and Swimming Activity: Effects on Body Composition and Condition Indices.”</w:t>
      </w:r>
      <w:r>
        <w:t xml:space="preserve"> </w:t>
      </w:r>
      <w:r>
        <w:rPr>
          <w:i/>
          <w:iCs/>
        </w:rPr>
        <w:t xml:space="preserve">Transactions of the American Fisheries Society</w:t>
      </w:r>
      <w:r>
        <w:t xml:space="preserve"> </w:t>
      </w:r>
      <w:r>
        <w:t xml:space="preserve">132 (3): 576–89.</w:t>
      </w:r>
      <w:r>
        <w:t xml:space="preserve"> </w:t>
      </w:r>
      <w:hyperlink r:id="rId26">
        <w:r>
          <w:rPr>
            <w:rStyle w:val="Hyperlink"/>
          </w:rPr>
          <w:t xml:space="preserve">https://doi.org/10.1577/1548-8659(2003)132&lt;0576:PROJRT&gt;2.0.CO;2</w:t>
        </w:r>
      </w:hyperlink>
      <w:r>
        <w:t xml:space="preserve">.</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93/conphys/coz107" TargetMode="External" /><Relationship Type="http://schemas.openxmlformats.org/officeDocument/2006/relationships/hyperlink" Id="rId26" Target="https://doi.org/10.1577/1548-8659(2003)132&lt;0576:PROJRT&gt;2.0.CO;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2026-05-22T16:07:58Z</dcterms:created>
  <dcterms:modified xsi:type="dcterms:W3CDTF">2026-05-22T16:07:58Z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