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31"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30"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Start w:id="29" w:name="refs"/>
    <w:bookmarkStart w:id="2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24">
        <w:r>
          <w:rPr>
            <w:rStyle w:val="Hyperlink"/>
          </w:rPr>
          <w:t xml:space="preserve">https://doi.org/10.3390/math9151783</w:t>
        </w:r>
      </w:hyperlink>
      <w:r>
        <w:t xml:space="preserve">.</w:t>
      </w:r>
    </w:p>
    <w:bookmarkEnd w:id="25"/>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27">
        <w:r>
          <w:rPr>
            <w:rStyle w:val="Hyperlink"/>
          </w:rPr>
          <w:t xml:space="preserve">https://doi.org/10.1002/ece3.3250</w:t>
        </w:r>
      </w:hyperlink>
      <w:r>
        <w:t xml:space="preserve">.</w:t>
      </w:r>
    </w:p>
    <w:bookmarkEnd w:id="28"/>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2026-05-22T16:08:05Z</dcterms:created>
  <dcterms:modified xsi:type="dcterms:W3CDTF">2026-05-22T16:08:05Z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