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ipid-catabolism"/>
    <w:p>
      <w:pPr>
        <w:pStyle w:val="Heading1"/>
      </w:pPr>
      <w:r>
        <w:t xml:space="preserve">Lipid Catabolism</w:t>
      </w:r>
    </w:p>
    <w:bookmarkStart w:id="9" w:name="overview"/>
    <w:p>
      <w:pPr>
        <w:pStyle w:val="Heading2"/>
      </w:pP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(Simpkins et al. 2003)</w:t>
      </w:r>
      <w:r>
        <w:t xml:space="preserve">. In anadromous species, lipid reserves play a critical role in sustaining upstream migration and reproductive effort when feeding is reduced or suspended</w:t>
      </w:r>
      <w:r>
        <w:t xml:space="preserve"> </w:t>
      </w:r>
      <w:r>
        <w:t xml:space="preserve">(Bordeleau et al. 2019)</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9"/>
    <w:bookmarkStart w:id="10" w:name="purpose"/>
    <w:p>
      <w:pPr>
        <w:pStyle w:val="Heading2"/>
      </w:pP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2"/>
    <w:bookmarkStart w:id="13" w:name="patch-variables"/>
    <w:p>
      <w:pPr>
        <w:pStyle w:val="Heading3"/>
      </w:pPr>
      <w:r>
        <w:t xml:space="preserve">Patch Variables</w:t>
      </w:r>
    </w:p>
    <w:p>
      <w:pPr>
        <w:pStyle w:val="FirstParagraph"/>
      </w:pPr>
      <w:r>
        <w:t xml:space="preserve">Lipid catabolism does not directly depend on patch level variables, since no external resources are consumed.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energy deficit relative to a target energy level of one</w:t>
      </w:r>
      <w:r>
        <w:t xml:space="preserve"> </w:t>
      </w:r>
      <w:r>
        <w:t xml:space="preserve">hundred (%, relative density).</w:t>
      </w:r>
    </w:p>
    <w:p>
      <w:pPr>
        <w:numPr>
          <w:ilvl w:val="0"/>
          <w:numId w:val="1001"/>
        </w:numPr>
      </w:pPr>
      <w:r>
        <w:t xml:space="preserve">Determine the lipid amount needed to fill the deficit (g tick⁻¹).</w:t>
      </w:r>
    </w:p>
    <w:p>
      <w:pPr>
        <w:numPr>
          <w:ilvl w:val="0"/>
          <w:numId w:val="1001"/>
        </w:numPr>
      </w:pPr>
      <w:r>
        <w:t xml:space="preserve">Limit lipid use by the maximum lipid available for mobilization (g</w:t>
      </w:r>
      <w:r>
        <w:t xml:space="preserve"> </w:t>
      </w:r>
      <w:r>
        <w:t xml:space="preserve">tick⁻¹).</w:t>
      </w:r>
    </w:p>
    <w:p>
      <w:pPr>
        <w:numPr>
          <w:ilvl w:val="0"/>
          <w:numId w:val="1001"/>
        </w:numPr>
      </w:pPr>
      <w:r>
        <w:t xml:space="preserve">Apply lipid catabolism efficiency to determine usable lipid energy</w:t>
      </w:r>
      <w:r>
        <w:t xml:space="preserve"> </w:t>
      </w:r>
      <w:r>
        <w:t xml:space="preserve">(%).</w:t>
      </w:r>
    </w:p>
    <w:p>
      <w:pPr>
        <w:numPr>
          <w:ilvl w:val="0"/>
          <w:numId w:val="1001"/>
        </w:numPr>
      </w:pPr>
      <w:r>
        <w:t xml:space="preserve">Convert mobilized lipid (g) to energy (energy units).</w:t>
      </w:r>
    </w:p>
    <w:p>
      <w:pPr>
        <w:numPr>
          <w:ilvl w:val="0"/>
          <w:numId w:val="1001"/>
        </w:numPr>
      </w:pPr>
      <w:r>
        <w:t xml:space="preserve">Reduce weight (g) by the amount of lipid burned (g).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(Simpkins et al. 2003)</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 et al. (2019)</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8"/>
    <w:bookmarkStart w:id="23" w:name="submodels"/>
    <w:p>
      <w:pPr>
        <w:pStyle w:val="Heading2"/>
      </w:pPr>
      <w:r>
        <w:t xml:space="preserve">Submodels</w:t>
      </w:r>
    </w:p>
    <w:bookmarkStart w:id="19" w:name="lipid-mobilization"/>
    <w:p>
      <w:pPr>
        <w:pStyle w:val="Heading3"/>
      </w:pP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(10.1)</m:t>
          </m:r>
        </m:oMath>
      </m:oMathPara>
    </w:p>
    <w:p>
      <w:pPr>
        <w:pStyle w:val="FirstParagraph"/>
      </w:pPr>
      <w:r>
        <w:t xml:space="preserve">Where:</w:t>
      </w:r>
    </w:p>
    <w:p>
      <w:pPr>
        <w:pStyle w:val="Compact"/>
        <w:numPr>
          <w:ilvl w:val="0"/>
          <w:numId w:val="100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(10.2)</m:t>
          </m:r>
        </m:oMath>
      </m:oMathPara>
    </w:p>
    <w:p>
      <w:pPr>
        <w:pStyle w:val="FirstParagraph"/>
      </w:pPr>
      <w:r>
        <w:t xml:space="preserve">Where:</w:t>
      </w:r>
    </w:p>
    <w:p>
      <w:pPr>
        <w:pStyle w:val="Compact"/>
        <w:numPr>
          <w:ilvl w:val="0"/>
          <w:numId w:val="1003"/>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0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(10.3)</m:t>
          </m:r>
        </m:oMath>
      </m:oMathPara>
    </w:p>
    <w:p>
      <w:pPr>
        <w:pStyle w:val="FirstParagraph"/>
      </w:pPr>
      <w:r>
        <w:t xml:space="preserve">Where:</w:t>
      </w:r>
    </w:p>
    <w:p>
      <w:pPr>
        <w:pStyle w:val="Compact"/>
        <w:numPr>
          <w:ilvl w:val="0"/>
          <w:numId w:val="1004"/>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4"/>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(10.4)</m:t>
          </m:r>
        </m:oMath>
      </m:oMathPara>
    </w:p>
    <w:p>
      <w:pPr>
        <w:pStyle w:val="FirstParagraph"/>
      </w:pPr>
      <w:r>
        <w:t xml:space="preserve">Where:</w:t>
      </w:r>
    </w:p>
    <w:p>
      <w:pPr>
        <w:pStyle w:val="Compact"/>
        <w:numPr>
          <w:ilvl w:val="0"/>
          <w:numId w:val="1005"/>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05"/>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5"/>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5"/>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9"/>
    <w:bookmarkStart w:id="20" w:name="energy-conversion"/>
    <w:p>
      <w:pPr>
        <w:pStyle w:val="Heading3"/>
      </w:pP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(10.5)</m:t>
          </m:r>
        </m:oMath>
      </m:oMathPara>
    </w:p>
    <w:p>
      <w:pPr>
        <w:pStyle w:val="FirstParagraph"/>
      </w:pPr>
      <w:r>
        <w:t xml:space="preserve">Where:</w:t>
      </w:r>
    </w:p>
    <w:p>
      <w:pPr>
        <w:pStyle w:val="Compact"/>
        <w:numPr>
          <w:ilvl w:val="0"/>
          <w:numId w:val="1006"/>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06"/>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(10.6)</m:t>
          </m:r>
        </m:oMath>
      </m:oMathPara>
    </w:p>
    <w:p>
      <w:pPr>
        <w:pStyle w:val="FirstParagraph"/>
      </w:pPr>
      <w:r>
        <w:t xml:space="preserve">Where:</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7"/>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20"/>
    <w:bookmarkStart w:id="21" w:name="weight-loss"/>
    <w:p>
      <w:pPr>
        <w:pStyle w:val="Heading3"/>
      </w:pP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(10.7)</m:t>
          </m:r>
        </m:oMath>
      </m:oMathPara>
    </w:p>
    <w:p>
      <w:pPr>
        <w:pStyle w:val="FirstParagraph"/>
      </w:pPr>
      <w:r>
        <w:t xml:space="preserve">Where:</w:t>
      </w:r>
    </w:p>
    <w:p>
      <w:pPr>
        <w:pStyle w:val="Compact"/>
        <w:numPr>
          <w:ilvl w:val="0"/>
          <w:numId w:val="100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8"/>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21"/>
    <w:bookmarkStart w:id="22" w:name="contaminant-bookkeeping"/>
    <w:p>
      <w:pPr>
        <w:pStyle w:val="Heading3"/>
      </w:pP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22"/>
    <w:bookmarkEnd w:id="23"/>
    <w:bookmarkStart w:id="29" w:name="netlogo-implementation"/>
    <w:p>
      <w:pPr>
        <w:pStyle w:val="Heading2"/>
      </w:pP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Start w:id="28" w:name="refs"/>
    <w:bookmarkStart w:id="25"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24">
        <w:r>
          <w:rPr>
            <w:rStyle w:val="Hyperlink"/>
          </w:rPr>
          <w:t xml:space="preserve">https://doi.org/10.1093/conphys/coz107</w:t>
        </w:r>
      </w:hyperlink>
      <w:r>
        <w:t xml:space="preserve">.</w:t>
      </w:r>
    </w:p>
    <w:bookmarkEnd w:id="25"/>
    <w:bookmarkStart w:id="27"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26">
        <w:r>
          <w:rPr>
            <w:rStyle w:val="Hyperlink"/>
          </w:rPr>
          <w:t xml:space="preserve">https://doi.org/10.1577/1548-8659(2003)132&lt;0576:PROJRT&gt;2.0.CO;2</w:t>
        </w:r>
      </w:hyperlink>
      <w:r>
        <w:t xml:space="preserve">.</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2026-07-05T19:40:07Z</dcterms:created>
  <dcterms:modified xsi:type="dcterms:W3CDTF">2026-07-05T19:40:07Z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